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76B5" w:rsidRDefault="00812290">
      <w:pPr>
        <w:pStyle w:val="Nagwek3"/>
        <w:keepNext w:val="0"/>
        <w:keepLines w:val="0"/>
        <w:spacing w:before="280"/>
        <w:contextualSpacing w:val="0"/>
        <w:jc w:val="center"/>
      </w:pPr>
      <w:r>
        <w:rPr>
          <w:rFonts w:ascii="Times New Roman" w:eastAsia="Times New Roman" w:hAnsi="Times New Roman" w:cs="Times New Roman"/>
          <w:b/>
          <w:color w:val="404040"/>
          <w:sz w:val="26"/>
          <w:szCs w:val="26"/>
        </w:rPr>
        <w:t xml:space="preserve">PROGRAM UBEZPIECZENIOWY DLA ADWOKATÓW </w:t>
      </w:r>
    </w:p>
    <w:p w:rsidR="001676B5" w:rsidRDefault="00812290">
      <w:pPr>
        <w:pStyle w:val="Nagwek3"/>
        <w:keepNext w:val="0"/>
        <w:keepLines w:val="0"/>
        <w:spacing w:before="280"/>
        <w:contextualSpacing w:val="0"/>
        <w:jc w:val="center"/>
      </w:pPr>
      <w:r>
        <w:rPr>
          <w:rFonts w:ascii="Times New Roman" w:eastAsia="Times New Roman" w:hAnsi="Times New Roman" w:cs="Times New Roman"/>
          <w:b/>
          <w:color w:val="404040"/>
          <w:sz w:val="26"/>
          <w:szCs w:val="26"/>
        </w:rPr>
        <w:t xml:space="preserve">W RAMACH UMOWY GENERALNEJ </w:t>
      </w:r>
    </w:p>
    <w:p w:rsidR="001676B5" w:rsidRDefault="00812290">
      <w:pPr>
        <w:pStyle w:val="Nagwek3"/>
        <w:keepNext w:val="0"/>
        <w:keepLines w:val="0"/>
        <w:spacing w:before="280"/>
        <w:contextualSpacing w:val="0"/>
        <w:jc w:val="center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NRA, PZU SA, TUiR Warta SA, iExpert.pl SA</w:t>
      </w:r>
    </w:p>
    <w:p w:rsidR="001676B5" w:rsidRDefault="001676B5">
      <w:pPr>
        <w:pStyle w:val="Nagwek3"/>
        <w:keepNext w:val="0"/>
        <w:keepLines w:val="0"/>
        <w:spacing w:before="280"/>
        <w:contextualSpacing w:val="0"/>
        <w:jc w:val="center"/>
      </w:pPr>
      <w:bookmarkStart w:id="0" w:name="_imkpcdy00b5" w:colFirst="0" w:colLast="0"/>
      <w:bookmarkEnd w:id="0"/>
    </w:p>
    <w:p w:rsidR="001676B5" w:rsidRDefault="00812290">
      <w:pPr>
        <w:pStyle w:val="Nagwek4"/>
        <w:keepNext w:val="0"/>
        <w:keepLines w:val="0"/>
        <w:spacing w:before="240" w:after="40"/>
        <w:ind w:left="860"/>
        <w:contextualSpacing w:val="0"/>
      </w:pPr>
      <w:bookmarkStart w:id="1" w:name="_dth4rakalv0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I  OC OBOWIĄZKOWE </w:t>
      </w:r>
    </w:p>
    <w:p w:rsidR="001676B5" w:rsidRDefault="00812290">
      <w:pPr>
        <w:pStyle w:val="Nagwek4"/>
        <w:keepNext w:val="0"/>
        <w:keepLines w:val="0"/>
        <w:spacing w:before="240" w:after="40"/>
        <w:ind w:left="380"/>
        <w:contextualSpacing w:val="0"/>
      </w:pPr>
      <w:bookmarkStart w:id="2" w:name="_gswn3yu8yzwc" w:colFirst="0" w:colLast="0"/>
      <w:bookmarkEnd w:id="2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Program obowiązkowego OC zawodowego adwokatów składa się z  OC podstawowego i OC dodatkowego:</w:t>
      </w:r>
    </w:p>
    <w:p w:rsidR="001676B5" w:rsidRDefault="00812290">
      <w:pPr>
        <w:spacing w:before="240" w:after="120"/>
      </w:pPr>
      <w:r>
        <w:rPr>
          <w:rFonts w:ascii="Times New Roman" w:eastAsia="Times New Roman" w:hAnsi="Times New Roman" w:cs="Times New Roman"/>
          <w:b/>
        </w:rPr>
        <w:t>OC podstawowe</w:t>
      </w:r>
    </w:p>
    <w:p w:rsidR="001676B5" w:rsidRDefault="00812290">
      <w:pPr>
        <w:ind w:left="700" w:hanging="280"/>
      </w:pPr>
      <w:r>
        <w:rPr>
          <w:rFonts w:ascii="Verdana" w:eastAsia="Verdana" w:hAnsi="Verdana" w:cs="Verdana"/>
          <w:color w:val="404040"/>
          <w:highlight w:val="white"/>
        </w:rPr>
        <w:t>·</w:t>
      </w:r>
      <w:r>
        <w:rPr>
          <w:rFonts w:ascii="Times New Roman" w:eastAsia="Times New Roman" w:hAnsi="Times New Roman" w:cs="Times New Roman"/>
          <w:color w:val="404040"/>
          <w:sz w:val="14"/>
          <w:szCs w:val="14"/>
          <w:highlight w:val="white"/>
        </w:rPr>
        <w:t xml:space="preserve">      </w:t>
      </w:r>
      <w:r>
        <w:rPr>
          <w:rFonts w:ascii="Times New Roman" w:eastAsia="Times New Roman" w:hAnsi="Times New Roman" w:cs="Times New Roman"/>
          <w:b/>
          <w:color w:val="404040"/>
        </w:rPr>
        <w:t>Szeroki zakres sum gwarancyjnych - o</w:t>
      </w:r>
      <w:r>
        <w:rPr>
          <w:rFonts w:ascii="Verdana" w:eastAsia="Verdana" w:hAnsi="Verdana" w:cs="Verdana"/>
          <w:color w:val="404040"/>
        </w:rPr>
        <w:t xml:space="preserve">d 50 tys. do 1 mln euro na każde zdarzenie osobno. </w:t>
      </w:r>
    </w:p>
    <w:p w:rsidR="001676B5" w:rsidRDefault="00812290">
      <w:pPr>
        <w:ind w:left="700" w:hanging="280"/>
      </w:pPr>
      <w:r>
        <w:rPr>
          <w:rFonts w:ascii="Verdana" w:eastAsia="Verdana" w:hAnsi="Verdana" w:cs="Verdana"/>
          <w:color w:val="404040"/>
          <w:highlight w:val="white"/>
        </w:rPr>
        <w:t>·</w:t>
      </w:r>
      <w:r>
        <w:rPr>
          <w:rFonts w:ascii="Times New Roman" w:eastAsia="Times New Roman" w:hAnsi="Times New Roman" w:cs="Times New Roman"/>
          <w:color w:val="404040"/>
          <w:sz w:val="14"/>
          <w:szCs w:val="14"/>
          <w:highlight w:val="white"/>
        </w:rPr>
        <w:t xml:space="preserve">      </w:t>
      </w:r>
      <w:r>
        <w:rPr>
          <w:rFonts w:ascii="Times New Roman" w:eastAsia="Times New Roman" w:hAnsi="Times New Roman" w:cs="Times New Roman"/>
          <w:b/>
          <w:color w:val="404040"/>
          <w:highlight w:val="white"/>
        </w:rPr>
        <w:t>Ochrona pracowników adwokata - obejmuje aplikantów, praktykantów i pracowników zatrudnionych na umowie o pracę, zlecenie lub umowy o dzieło.</w:t>
      </w:r>
    </w:p>
    <w:p w:rsidR="001676B5" w:rsidRDefault="00812290">
      <w:pPr>
        <w:ind w:left="700" w:hanging="280"/>
      </w:pPr>
      <w:r>
        <w:rPr>
          <w:rFonts w:ascii="Verdana" w:eastAsia="Verdana" w:hAnsi="Verdana" w:cs="Verdana"/>
          <w:color w:val="404040"/>
          <w:highlight w:val="white"/>
        </w:rPr>
        <w:t>·</w:t>
      </w:r>
      <w:r>
        <w:rPr>
          <w:rFonts w:ascii="Times New Roman" w:eastAsia="Times New Roman" w:hAnsi="Times New Roman" w:cs="Times New Roman"/>
          <w:color w:val="404040"/>
          <w:sz w:val="14"/>
          <w:szCs w:val="14"/>
          <w:highlight w:val="white"/>
        </w:rPr>
        <w:t xml:space="preserve">      </w:t>
      </w:r>
      <w:r>
        <w:rPr>
          <w:rFonts w:ascii="Times New Roman" w:eastAsia="Times New Roman" w:hAnsi="Times New Roman" w:cs="Times New Roman"/>
          <w:b/>
          <w:color w:val="404040"/>
          <w:highlight w:val="white"/>
        </w:rPr>
        <w:t>W ramach skła</w:t>
      </w:r>
      <w:r>
        <w:rPr>
          <w:rFonts w:ascii="Times New Roman" w:eastAsia="Times New Roman" w:hAnsi="Times New Roman" w:cs="Times New Roman"/>
          <w:b/>
          <w:color w:val="404040"/>
          <w:highlight w:val="white"/>
        </w:rPr>
        <w:t>dki ochroną objęta jest: działalności biura, zniszczenie lub zaginięcie dokumentów,  wyrządzone pracownikom, odpowiedzialności adwokata pełniącego funkcje kuratora, OC w życiu prywatnym, ubezpieczenie NNW oraz asysta prawna.</w:t>
      </w:r>
    </w:p>
    <w:p w:rsidR="001676B5" w:rsidRDefault="00812290">
      <w:pPr>
        <w:ind w:left="700" w:hanging="280"/>
      </w:pPr>
      <w:r>
        <w:rPr>
          <w:rFonts w:ascii="Verdana" w:eastAsia="Verdana" w:hAnsi="Verdana" w:cs="Verdana"/>
          <w:color w:val="404040"/>
        </w:rPr>
        <w:t xml:space="preserve"> </w:t>
      </w:r>
    </w:p>
    <w:p w:rsidR="001676B5" w:rsidRDefault="00812290">
      <w:r>
        <w:rPr>
          <w:rFonts w:ascii="Times New Roman" w:eastAsia="Times New Roman" w:hAnsi="Times New Roman" w:cs="Times New Roman"/>
          <w:b/>
          <w:color w:val="404040"/>
          <w:highlight w:val="white"/>
        </w:rPr>
        <w:t>OC dodatkowe</w:t>
      </w:r>
    </w:p>
    <w:p w:rsidR="001676B5" w:rsidRDefault="00812290">
      <w:pPr>
        <w:ind w:left="700" w:hanging="280"/>
      </w:pPr>
      <w:r>
        <w:rPr>
          <w:rFonts w:ascii="Verdana" w:eastAsia="Verdana" w:hAnsi="Verdana" w:cs="Verdana"/>
          <w:color w:val="404040"/>
          <w:highlight w:val="white"/>
        </w:rPr>
        <w:t>·</w:t>
      </w:r>
      <w:r>
        <w:rPr>
          <w:rFonts w:ascii="Times New Roman" w:eastAsia="Times New Roman" w:hAnsi="Times New Roman" w:cs="Times New Roman"/>
          <w:color w:val="404040"/>
          <w:sz w:val="14"/>
          <w:szCs w:val="14"/>
          <w:highlight w:val="white"/>
        </w:rPr>
        <w:t xml:space="preserve">      </w:t>
      </w:r>
      <w:r>
        <w:rPr>
          <w:rFonts w:ascii="Times New Roman" w:eastAsia="Times New Roman" w:hAnsi="Times New Roman" w:cs="Times New Roman"/>
          <w:b/>
          <w:color w:val="404040"/>
          <w:highlight w:val="white"/>
        </w:rPr>
        <w:t>Ubezpieczenie jest naliczane automatycznie, do każdego OC Podstawowego, gdy suma gwarancyjna przekroczy lub gdy jest równa 100 tys. euro.</w:t>
      </w:r>
    </w:p>
    <w:p w:rsidR="001676B5" w:rsidRDefault="00812290">
      <w:pPr>
        <w:ind w:left="700" w:hanging="280"/>
      </w:pPr>
      <w:r>
        <w:rPr>
          <w:rFonts w:ascii="Verdana" w:eastAsia="Verdana" w:hAnsi="Verdana" w:cs="Verdana"/>
          <w:color w:val="404040"/>
          <w:highlight w:val="white"/>
        </w:rPr>
        <w:t>·</w:t>
      </w:r>
      <w:r>
        <w:rPr>
          <w:rFonts w:ascii="Times New Roman" w:eastAsia="Times New Roman" w:hAnsi="Times New Roman" w:cs="Times New Roman"/>
          <w:color w:val="404040"/>
          <w:sz w:val="14"/>
          <w:szCs w:val="14"/>
          <w:highlight w:val="white"/>
        </w:rPr>
        <w:t xml:space="preserve">      </w:t>
      </w:r>
      <w:r>
        <w:rPr>
          <w:rFonts w:ascii="Times New Roman" w:eastAsia="Times New Roman" w:hAnsi="Times New Roman" w:cs="Times New Roman"/>
          <w:b/>
          <w:color w:val="404040"/>
          <w:highlight w:val="white"/>
        </w:rPr>
        <w:t>Jedna suma gwarancyjna –</w:t>
      </w:r>
      <w:r>
        <w:rPr>
          <w:rFonts w:ascii="Times New Roman" w:eastAsia="Times New Roman" w:hAnsi="Times New Roman" w:cs="Times New Roman"/>
          <w:color w:val="404040"/>
          <w:highlight w:val="white"/>
        </w:rPr>
        <w:t xml:space="preserve"> 250 tys. euro</w:t>
      </w:r>
    </w:p>
    <w:p w:rsidR="001676B5" w:rsidRDefault="00812290">
      <w:pPr>
        <w:ind w:left="700" w:hanging="280"/>
      </w:pPr>
      <w:r>
        <w:rPr>
          <w:rFonts w:ascii="Verdana" w:eastAsia="Verdana" w:hAnsi="Verdana" w:cs="Verdana"/>
          <w:color w:val="404040"/>
          <w:highlight w:val="white"/>
        </w:rPr>
        <w:t>·</w:t>
      </w:r>
      <w:r>
        <w:rPr>
          <w:rFonts w:ascii="Times New Roman" w:eastAsia="Times New Roman" w:hAnsi="Times New Roman" w:cs="Times New Roman"/>
          <w:color w:val="404040"/>
          <w:sz w:val="14"/>
          <w:szCs w:val="14"/>
          <w:highlight w:val="white"/>
        </w:rPr>
        <w:t xml:space="preserve">      </w:t>
      </w:r>
      <w:r>
        <w:rPr>
          <w:rFonts w:ascii="Times New Roman" w:eastAsia="Times New Roman" w:hAnsi="Times New Roman" w:cs="Times New Roman"/>
          <w:color w:val="404040"/>
          <w:highlight w:val="white"/>
        </w:rPr>
        <w:t xml:space="preserve">Przedłużony okres zgłaszania szkody </w:t>
      </w:r>
      <w:r>
        <w:rPr>
          <w:rFonts w:ascii="Times New Roman" w:eastAsia="Times New Roman" w:hAnsi="Times New Roman" w:cs="Times New Roman"/>
          <w:b/>
          <w:color w:val="404040"/>
          <w:highlight w:val="white"/>
        </w:rPr>
        <w:t>- warunkowo do 36 miesięcy po</w:t>
      </w:r>
      <w:r>
        <w:rPr>
          <w:rFonts w:ascii="Times New Roman" w:eastAsia="Times New Roman" w:hAnsi="Times New Roman" w:cs="Times New Roman"/>
          <w:b/>
          <w:color w:val="404040"/>
          <w:highlight w:val="white"/>
        </w:rPr>
        <w:t xml:space="preserve"> wygaśnięciu ubezpieczenia.</w:t>
      </w:r>
    </w:p>
    <w:p w:rsidR="001676B5" w:rsidRDefault="00812290">
      <w:pPr>
        <w:ind w:left="700" w:hanging="280"/>
      </w:pPr>
      <w:r>
        <w:rPr>
          <w:rFonts w:ascii="Verdana" w:eastAsia="Verdana" w:hAnsi="Verdana" w:cs="Verdana"/>
          <w:color w:val="404040"/>
        </w:rPr>
        <w:t xml:space="preserve"> </w:t>
      </w:r>
    </w:p>
    <w:p w:rsidR="001676B5" w:rsidRDefault="00812290">
      <w:hyperlink r:id="rId5">
        <w:r>
          <w:rPr>
            <w:rFonts w:ascii="Verdana" w:eastAsia="Verdana" w:hAnsi="Verdana" w:cs="Verdana"/>
            <w:color w:val="555555"/>
          </w:rPr>
          <w:t xml:space="preserve">WIĘCEJ &gt;&gt; </w:t>
        </w:r>
      </w:hyperlink>
    </w:p>
    <w:p w:rsidR="001676B5" w:rsidRDefault="00812290">
      <w:hyperlink r:id="rId6"/>
    </w:p>
    <w:p w:rsidR="001676B5" w:rsidRDefault="00812290">
      <w:hyperlink r:id="rId7"/>
    </w:p>
    <w:p w:rsidR="001676B5" w:rsidRDefault="00812290">
      <w:pPr>
        <w:pStyle w:val="Nagwek4"/>
        <w:keepNext w:val="0"/>
        <w:keepLines w:val="0"/>
        <w:spacing w:before="240" w:after="40"/>
        <w:contextualSpacing w:val="0"/>
      </w:pPr>
      <w:bookmarkStart w:id="3" w:name="_d1a668tsb6zf" w:colFirst="0" w:colLast="0"/>
      <w:bookmarkEnd w:id="3"/>
      <w:r>
        <w:rPr>
          <w:rFonts w:ascii="Times New Roman" w:eastAsia="Times New Roman" w:hAnsi="Times New Roman" w:cs="Times New Roman"/>
          <w:b/>
          <w:color w:val="404040"/>
          <w:sz w:val="22"/>
          <w:szCs w:val="22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404040"/>
          <w:sz w:val="22"/>
          <w:szCs w:val="22"/>
        </w:rPr>
        <w:t xml:space="preserve"> OC NADWYŻKOWE ADWOKA</w:t>
      </w:r>
      <w:r>
        <w:rPr>
          <w:rFonts w:ascii="Times New Roman" w:eastAsia="Times New Roman" w:hAnsi="Times New Roman" w:cs="Times New Roman"/>
          <w:b/>
          <w:color w:val="404040"/>
          <w:sz w:val="22"/>
          <w:szCs w:val="22"/>
        </w:rPr>
        <w:t>TÓW, ZESPOŁÓW ADWOKACKICH, KANCELARII ORAZ SPÓŁEK</w:t>
      </w:r>
    </w:p>
    <w:p w:rsidR="001676B5" w:rsidRDefault="00812290">
      <w:r>
        <w:rPr>
          <w:rFonts w:ascii="Verdana" w:eastAsia="Verdana" w:hAnsi="Verdana" w:cs="Verdana"/>
        </w:rPr>
        <w:t xml:space="preserve"> </w:t>
      </w:r>
    </w:p>
    <w:p w:rsidR="001676B5" w:rsidRPr="00812290" w:rsidRDefault="00812290">
      <w:pPr>
        <w:rPr>
          <w:lang w:val="en-US"/>
        </w:rPr>
      </w:pPr>
      <w:r>
        <w:rPr>
          <w:rFonts w:ascii="Verdana" w:eastAsia="Verdana" w:hAnsi="Verdana" w:cs="Verdana"/>
        </w:rPr>
        <w:t xml:space="preserve">Polisa zabezpiecza działalność spółek i kancelarii przed roszczeniami ze strony klientów i kontrahentów. </w:t>
      </w:r>
      <w:r w:rsidRPr="00812290">
        <w:rPr>
          <w:rFonts w:ascii="Verdana" w:eastAsia="Verdana" w:hAnsi="Verdana" w:cs="Verdana"/>
          <w:lang w:val="en-US"/>
        </w:rPr>
        <w:t>Dostępne w dwóch wariantach: Act Committed i Claims Made.</w:t>
      </w:r>
    </w:p>
    <w:p w:rsidR="001676B5" w:rsidRPr="00812290" w:rsidRDefault="00812290">
      <w:pPr>
        <w:rPr>
          <w:lang w:val="en-US"/>
        </w:rPr>
      </w:pPr>
      <w:r w:rsidRPr="00812290">
        <w:rPr>
          <w:rFonts w:ascii="Verdana" w:eastAsia="Verdana" w:hAnsi="Verdana" w:cs="Verdana"/>
          <w:color w:val="404040"/>
          <w:lang w:val="en-US"/>
        </w:rPr>
        <w:t xml:space="preserve"> </w:t>
      </w:r>
    </w:p>
    <w:p w:rsidR="001676B5" w:rsidRPr="00812290" w:rsidRDefault="00812290">
      <w:pPr>
        <w:rPr>
          <w:lang w:val="en-US"/>
        </w:rPr>
      </w:pPr>
      <w:r w:rsidRPr="00812290">
        <w:rPr>
          <w:rFonts w:ascii="Verdana" w:eastAsia="Verdana" w:hAnsi="Verdana" w:cs="Verdana"/>
          <w:b/>
          <w:color w:val="404040"/>
          <w:lang w:val="en-US"/>
        </w:rPr>
        <w:t>1. OC nadwyżkowe Act Committed</w:t>
      </w:r>
    </w:p>
    <w:p w:rsidR="001676B5" w:rsidRPr="00812290" w:rsidRDefault="00812290">
      <w:pPr>
        <w:rPr>
          <w:lang w:val="en-US"/>
        </w:rPr>
      </w:pPr>
      <w:r w:rsidRPr="00812290">
        <w:rPr>
          <w:rFonts w:ascii="Verdana" w:eastAsia="Verdana" w:hAnsi="Verdana" w:cs="Verdana"/>
          <w:b/>
          <w:color w:val="404040"/>
          <w:lang w:val="en-US"/>
        </w:rPr>
        <w:t xml:space="preserve"> </w:t>
      </w:r>
    </w:p>
    <w:p w:rsidR="001676B5" w:rsidRDefault="00812290">
      <w:pPr>
        <w:ind w:left="700" w:hanging="280"/>
      </w:pPr>
      <w:r>
        <w:rPr>
          <w:rFonts w:ascii="Verdana" w:eastAsia="Verdana" w:hAnsi="Verdana" w:cs="Verdana"/>
          <w:color w:val="404040"/>
        </w:rPr>
        <w:t>·</w:t>
      </w:r>
      <w:r>
        <w:rPr>
          <w:rFonts w:ascii="Times New Roman" w:eastAsia="Times New Roman" w:hAnsi="Times New Roman" w:cs="Times New Roman"/>
          <w:color w:val="404040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b/>
          <w:color w:val="404040"/>
        </w:rPr>
        <w:t xml:space="preserve">Szeroki zakres sum gwarancyjnych - </w:t>
      </w:r>
      <w:r>
        <w:rPr>
          <w:rFonts w:ascii="Verdana" w:eastAsia="Verdana" w:hAnsi="Verdana" w:cs="Verdana"/>
          <w:color w:val="404040"/>
        </w:rPr>
        <w:t xml:space="preserve">od 250 tys. do 4 mln zł. Negocjujemy również wyższe sumy. </w:t>
      </w:r>
    </w:p>
    <w:p w:rsidR="001676B5" w:rsidRDefault="00812290">
      <w:pPr>
        <w:ind w:left="700" w:hanging="280"/>
      </w:pPr>
      <w:r>
        <w:rPr>
          <w:rFonts w:ascii="Verdana" w:eastAsia="Verdana" w:hAnsi="Verdana" w:cs="Verdana"/>
          <w:color w:val="404040"/>
        </w:rPr>
        <w:lastRenderedPageBreak/>
        <w:t>·</w:t>
      </w:r>
      <w:r>
        <w:rPr>
          <w:rFonts w:ascii="Times New Roman" w:eastAsia="Times New Roman" w:hAnsi="Times New Roman" w:cs="Times New Roman"/>
          <w:color w:val="404040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b/>
          <w:color w:val="404040"/>
        </w:rPr>
        <w:t>Wydłużony okres ochrony - s</w:t>
      </w:r>
      <w:r>
        <w:rPr>
          <w:rFonts w:ascii="Verdana" w:eastAsia="Verdana" w:hAnsi="Verdana" w:cs="Verdana"/>
          <w:color w:val="404040"/>
        </w:rPr>
        <w:t>zkoda może być zgłoszona także po wygaśnięciu ubezpieczenia pod warunkiem, że zdarzenie powodujące szkodę zaszło w okresie</w:t>
      </w:r>
      <w:r>
        <w:rPr>
          <w:rFonts w:ascii="Verdana" w:eastAsia="Verdana" w:hAnsi="Verdana" w:cs="Verdana"/>
          <w:color w:val="404040"/>
        </w:rPr>
        <w:t xml:space="preserve"> trwania ubezpieczenia – jedynym ograniczeniem są terminy przedawnień roszczeń wynikających z k.c. </w:t>
      </w:r>
    </w:p>
    <w:p w:rsidR="001676B5" w:rsidRDefault="00812290">
      <w:pPr>
        <w:ind w:left="700" w:hanging="280"/>
      </w:pPr>
      <w:r>
        <w:rPr>
          <w:rFonts w:ascii="Verdana" w:eastAsia="Verdana" w:hAnsi="Verdana" w:cs="Verdana"/>
          <w:color w:val="404040"/>
        </w:rPr>
        <w:t>·</w:t>
      </w:r>
      <w:r>
        <w:rPr>
          <w:rFonts w:ascii="Times New Roman" w:eastAsia="Times New Roman" w:hAnsi="Times New Roman" w:cs="Times New Roman"/>
          <w:color w:val="404040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color w:val="404040"/>
        </w:rPr>
        <w:t>Ubezpieczenie podwykonawców</w:t>
      </w:r>
      <w:r>
        <w:rPr>
          <w:rFonts w:ascii="Verdana" w:eastAsia="Verdana" w:hAnsi="Verdana" w:cs="Verdana"/>
          <w:b/>
          <w:color w:val="404040"/>
        </w:rPr>
        <w:t xml:space="preserve"> współpracujących z kancelarią.</w:t>
      </w:r>
    </w:p>
    <w:p w:rsidR="001676B5" w:rsidRDefault="00812290">
      <w:pPr>
        <w:ind w:left="700" w:hanging="280"/>
      </w:pPr>
      <w:r>
        <w:rPr>
          <w:rFonts w:ascii="Verdana" w:eastAsia="Verdana" w:hAnsi="Verdana" w:cs="Verdana"/>
          <w:color w:val="404040"/>
        </w:rPr>
        <w:t>·</w:t>
      </w:r>
      <w:r>
        <w:rPr>
          <w:rFonts w:ascii="Times New Roman" w:eastAsia="Times New Roman" w:hAnsi="Times New Roman" w:cs="Times New Roman"/>
          <w:color w:val="404040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b/>
          <w:color w:val="404040"/>
        </w:rPr>
        <w:t xml:space="preserve">Ubezpieczenie dokumentów - </w:t>
      </w:r>
      <w:r>
        <w:rPr>
          <w:rFonts w:ascii="Verdana" w:eastAsia="Verdana" w:hAnsi="Verdana" w:cs="Verdana"/>
          <w:color w:val="404040"/>
        </w:rPr>
        <w:t>dodatkowo można objąć ochroną zniszczenie lub zaginięcie</w:t>
      </w:r>
      <w:r>
        <w:rPr>
          <w:rFonts w:ascii="Verdana" w:eastAsia="Verdana" w:hAnsi="Verdana" w:cs="Verdana"/>
          <w:color w:val="404040"/>
        </w:rPr>
        <w:t xml:space="preserve"> dokumentów.  </w:t>
      </w:r>
    </w:p>
    <w:p w:rsidR="001676B5" w:rsidRDefault="00812290">
      <w:pPr>
        <w:ind w:left="700" w:hanging="280"/>
      </w:pPr>
      <w:r>
        <w:rPr>
          <w:rFonts w:ascii="Verdana" w:eastAsia="Verdana" w:hAnsi="Verdana" w:cs="Verdana"/>
          <w:color w:val="404040"/>
        </w:rPr>
        <w:t xml:space="preserve"> </w:t>
      </w:r>
    </w:p>
    <w:p w:rsidR="001676B5" w:rsidRDefault="00812290">
      <w:pPr>
        <w:spacing w:after="120"/>
        <w:ind w:left="300" w:hanging="280"/>
      </w:pPr>
      <w:hyperlink r:id="rId8">
        <w:r>
          <w:rPr>
            <w:rFonts w:ascii="Times New Roman" w:eastAsia="Times New Roman" w:hAnsi="Times New Roman" w:cs="Times New Roman"/>
            <w:color w:val="555555"/>
          </w:rPr>
          <w:t>WIĘCEJ &gt;&gt;</w:t>
        </w:r>
      </w:hyperlink>
    </w:p>
    <w:p w:rsidR="001676B5" w:rsidRDefault="00812290">
      <w:pPr>
        <w:spacing w:after="120"/>
        <w:ind w:left="300" w:hanging="280"/>
      </w:pPr>
      <w:r>
        <w:rPr>
          <w:rFonts w:ascii="Verdana" w:eastAsia="Verdana" w:hAnsi="Verdana" w:cs="Verdana"/>
          <w:color w:val="404040"/>
        </w:rPr>
        <w:t xml:space="preserve"> </w:t>
      </w:r>
    </w:p>
    <w:p w:rsidR="001676B5" w:rsidRDefault="00812290">
      <w:pPr>
        <w:pStyle w:val="Nagwek4"/>
        <w:keepNext w:val="0"/>
        <w:keepLines w:val="0"/>
        <w:spacing w:before="240" w:after="40"/>
        <w:ind w:left="860"/>
        <w:contextualSpacing w:val="0"/>
      </w:pPr>
      <w:bookmarkStart w:id="4" w:name="_5ia5yynakfwr" w:colFirst="0" w:colLast="0"/>
      <w:bookmarkEnd w:id="4"/>
      <w:r>
        <w:rPr>
          <w:rFonts w:ascii="Times New Roman" w:eastAsia="Times New Roman" w:hAnsi="Times New Roman" w:cs="Times New Roman"/>
          <w:b/>
          <w:color w:val="404040"/>
          <w:sz w:val="22"/>
          <w:szCs w:val="22"/>
        </w:rPr>
        <w:t>2. OC nadwyżkowe Claims Made</w:t>
      </w:r>
    </w:p>
    <w:p w:rsidR="001676B5" w:rsidRDefault="00812290">
      <w:pPr>
        <w:ind w:left="700" w:hanging="280"/>
      </w:pPr>
      <w:r>
        <w:rPr>
          <w:rFonts w:ascii="Verdana" w:eastAsia="Verdana" w:hAnsi="Verdana" w:cs="Verdana"/>
          <w:color w:val="404040"/>
        </w:rPr>
        <w:t>·</w:t>
      </w:r>
      <w:r>
        <w:rPr>
          <w:rFonts w:ascii="Times New Roman" w:eastAsia="Times New Roman" w:hAnsi="Times New Roman" w:cs="Times New Roman"/>
          <w:color w:val="404040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b/>
          <w:color w:val="404040"/>
        </w:rPr>
        <w:t>Wysokie sumy gwarancyjne - o</w:t>
      </w:r>
      <w:r>
        <w:rPr>
          <w:rFonts w:ascii="Verdana" w:eastAsia="Verdana" w:hAnsi="Verdana" w:cs="Verdana"/>
          <w:color w:val="404040"/>
        </w:rPr>
        <w:t xml:space="preserve">d 1 mln do 20 mln zł. Negocjujemy również wyższe sumy. </w:t>
      </w:r>
    </w:p>
    <w:p w:rsidR="001676B5" w:rsidRDefault="00812290">
      <w:pPr>
        <w:ind w:left="700" w:hanging="280"/>
      </w:pPr>
      <w:r>
        <w:rPr>
          <w:rFonts w:ascii="Verdana" w:eastAsia="Verdana" w:hAnsi="Verdana" w:cs="Verdana"/>
          <w:color w:val="404040"/>
        </w:rPr>
        <w:t>·</w:t>
      </w:r>
      <w:r>
        <w:rPr>
          <w:rFonts w:ascii="Times New Roman" w:eastAsia="Times New Roman" w:hAnsi="Times New Roman" w:cs="Times New Roman"/>
          <w:color w:val="404040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color w:val="40404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color w:val="404040"/>
        </w:rPr>
        <w:t xml:space="preserve">Okres wsteczny bez dopłaty -  szkoda musi zostać zgłoszona w okresie trwania ubezpieczenia oraz warunkowo 36 miesięcy po jego wygaśnięciu.  </w:t>
      </w:r>
    </w:p>
    <w:p w:rsidR="001676B5" w:rsidRDefault="00812290">
      <w:pPr>
        <w:ind w:left="700" w:hanging="280"/>
      </w:pPr>
      <w:r>
        <w:rPr>
          <w:rFonts w:ascii="Verdana" w:eastAsia="Verdana" w:hAnsi="Verdana" w:cs="Verdana"/>
          <w:color w:val="404040"/>
        </w:rPr>
        <w:t>·</w:t>
      </w:r>
      <w:r>
        <w:rPr>
          <w:rFonts w:ascii="Times New Roman" w:eastAsia="Times New Roman" w:hAnsi="Times New Roman" w:cs="Times New Roman"/>
          <w:color w:val="404040"/>
          <w:sz w:val="14"/>
          <w:szCs w:val="14"/>
        </w:rPr>
        <w:t xml:space="preserve">      </w:t>
      </w:r>
      <w:r>
        <w:rPr>
          <w:rFonts w:ascii="Verdana" w:eastAsia="Verdana" w:hAnsi="Verdana" w:cs="Verdana"/>
          <w:b/>
          <w:color w:val="404040"/>
        </w:rPr>
        <w:t>Szeroki zakres</w:t>
      </w:r>
      <w:r>
        <w:rPr>
          <w:rFonts w:ascii="Verdana" w:eastAsia="Verdana" w:hAnsi="Verdana" w:cs="Verdana"/>
          <w:color w:val="404040"/>
        </w:rPr>
        <w:t xml:space="preserve"> - brak udziałów własnych i brak franszyzy redukcyjnej, czyli w razie szkody ubezpieczyciel w</w:t>
      </w:r>
      <w:r>
        <w:rPr>
          <w:rFonts w:ascii="Verdana" w:eastAsia="Verdana" w:hAnsi="Verdana" w:cs="Verdana"/>
          <w:color w:val="404040"/>
        </w:rPr>
        <w:t>ypłaci pełne odszkodowanie do sumy na jaką została zawarta polisa</w:t>
      </w:r>
      <w:r>
        <w:rPr>
          <w:rFonts w:ascii="Times New Roman" w:eastAsia="Times New Roman" w:hAnsi="Times New Roman" w:cs="Times New Roman"/>
          <w:color w:val="404040"/>
        </w:rPr>
        <w:t>.</w:t>
      </w:r>
    </w:p>
    <w:p w:rsidR="001676B5" w:rsidRDefault="00812290">
      <w:pPr>
        <w:ind w:left="700" w:hanging="280"/>
      </w:pPr>
      <w:r>
        <w:rPr>
          <w:rFonts w:ascii="Verdana" w:eastAsia="Verdana" w:hAnsi="Verdana" w:cs="Verdana"/>
          <w:color w:val="404040"/>
        </w:rPr>
        <w:t>·</w:t>
      </w:r>
      <w:r>
        <w:rPr>
          <w:rFonts w:ascii="Times New Roman" w:eastAsia="Times New Roman" w:hAnsi="Times New Roman" w:cs="Times New Roman"/>
          <w:color w:val="404040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color w:val="404040"/>
        </w:rPr>
        <w:t>Ubezpieczenie podwykonawców współpracujących z kancelarią.</w:t>
      </w:r>
    </w:p>
    <w:p w:rsidR="001676B5" w:rsidRDefault="00812290">
      <w:pPr>
        <w:ind w:left="700" w:hanging="280"/>
      </w:pPr>
      <w:r>
        <w:rPr>
          <w:rFonts w:ascii="Verdana" w:eastAsia="Verdana" w:hAnsi="Verdana" w:cs="Verdana"/>
          <w:color w:val="404040"/>
        </w:rPr>
        <w:t>·</w:t>
      </w:r>
      <w:r>
        <w:rPr>
          <w:rFonts w:ascii="Times New Roman" w:eastAsia="Times New Roman" w:hAnsi="Times New Roman" w:cs="Times New Roman"/>
          <w:color w:val="404040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b/>
          <w:color w:val="404040"/>
        </w:rPr>
        <w:t>Ubezpieczenie dokumentów - opcjonalnie</w:t>
      </w:r>
      <w:r>
        <w:rPr>
          <w:rFonts w:ascii="Verdana" w:eastAsia="Verdana" w:hAnsi="Verdana" w:cs="Verdana"/>
          <w:color w:val="404040"/>
        </w:rPr>
        <w:t xml:space="preserve"> można objąć ochroną zniszczenie lub zaginięcie dokumentów. </w:t>
      </w:r>
    </w:p>
    <w:p w:rsidR="001676B5" w:rsidRDefault="001676B5">
      <w:pPr>
        <w:ind w:hanging="280"/>
      </w:pPr>
    </w:p>
    <w:p w:rsidR="001676B5" w:rsidRDefault="00812290">
      <w:pPr>
        <w:ind w:hanging="280"/>
      </w:pPr>
      <w:hyperlink r:id="rId9">
        <w:r>
          <w:rPr>
            <w:rFonts w:ascii="Times New Roman" w:eastAsia="Times New Roman" w:hAnsi="Times New Roman" w:cs="Times New Roman"/>
            <w:color w:val="555555"/>
          </w:rPr>
          <w:t>WIĘCEJ &gt;&gt;</w:t>
        </w:r>
      </w:hyperlink>
    </w:p>
    <w:p w:rsidR="001676B5" w:rsidRDefault="00812290">
      <w:pPr>
        <w:ind w:hanging="280"/>
      </w:pPr>
      <w:hyperlink r:id="rId10"/>
    </w:p>
    <w:p w:rsidR="001676B5" w:rsidRDefault="00812290">
      <w:pPr>
        <w:ind w:hanging="280"/>
      </w:pPr>
      <w:r>
        <w:rPr>
          <w:rFonts w:ascii="Verdana" w:eastAsia="Verdana" w:hAnsi="Verdana" w:cs="Verdana"/>
          <w:color w:val="404040"/>
        </w:rPr>
        <w:t xml:space="preserve"> </w:t>
      </w:r>
    </w:p>
    <w:p w:rsidR="001676B5" w:rsidRDefault="00812290">
      <w:pPr>
        <w:pStyle w:val="Nagwek4"/>
        <w:keepNext w:val="0"/>
        <w:keepLines w:val="0"/>
        <w:spacing w:before="240" w:after="40"/>
        <w:contextualSpacing w:val="0"/>
      </w:pPr>
      <w:bookmarkStart w:id="5" w:name="_g0mhlj2915zo" w:colFirst="0" w:colLast="0"/>
      <w:bookmarkEnd w:id="5"/>
      <w:r>
        <w:rPr>
          <w:rFonts w:ascii="Times New Roman" w:eastAsia="Times New Roman" w:hAnsi="Times New Roman" w:cs="Times New Roman"/>
          <w:b/>
          <w:color w:val="404040"/>
          <w:sz w:val="22"/>
          <w:szCs w:val="22"/>
        </w:rPr>
        <w:t>III  OC SYNDYKA, LIKWIDATORA, NADZORCY, ZARZĄDCY, KURATORA SĄDOWEGO</w:t>
      </w:r>
    </w:p>
    <w:p w:rsidR="001676B5" w:rsidRDefault="00812290">
      <w:r>
        <w:rPr>
          <w:rFonts w:ascii="Times New Roman" w:eastAsia="Times New Roman" w:hAnsi="Times New Roman" w:cs="Times New Roman"/>
          <w:b/>
        </w:rPr>
        <w:t>U</w:t>
      </w:r>
      <w:r>
        <w:rPr>
          <w:rFonts w:ascii="Times New Roman" w:eastAsia="Times New Roman" w:hAnsi="Times New Roman" w:cs="Times New Roman"/>
          <w:b/>
        </w:rPr>
        <w:t xml:space="preserve">bezpieczenie </w:t>
      </w:r>
      <w:r>
        <w:rPr>
          <w:rFonts w:ascii="Verdana" w:eastAsia="Verdana" w:hAnsi="Verdana" w:cs="Verdana"/>
        </w:rPr>
        <w:t xml:space="preserve">skierowane do </w:t>
      </w:r>
      <w:r>
        <w:rPr>
          <w:rFonts w:ascii="Times New Roman" w:eastAsia="Times New Roman" w:hAnsi="Times New Roman" w:cs="Times New Roman"/>
          <w:b/>
        </w:rPr>
        <w:t xml:space="preserve">adwokatów powołanych do wykonywania czynności syndyka, nadzorcy sądowego, zarządcy, kuratora i likwidatora </w:t>
      </w:r>
      <w:r>
        <w:rPr>
          <w:rFonts w:ascii="Verdana" w:eastAsia="Verdana" w:hAnsi="Verdana" w:cs="Verdana"/>
        </w:rPr>
        <w:t>podlegających zgodnie z prawem ubezpieczeniu odpowiedzialności cywilnej za szkody wyrządzone przy wykonywaniu czynności os</w:t>
      </w:r>
      <w:r>
        <w:rPr>
          <w:rFonts w:ascii="Verdana" w:eastAsia="Verdana" w:hAnsi="Verdana" w:cs="Verdana"/>
        </w:rPr>
        <w:t>obiście, lub przez pełnomocnika.</w:t>
      </w:r>
    </w:p>
    <w:p w:rsidR="001676B5" w:rsidRDefault="00812290">
      <w:pPr>
        <w:ind w:left="700" w:hanging="280"/>
      </w:pPr>
      <w:r>
        <w:rPr>
          <w:rFonts w:ascii="Verdana" w:eastAsia="Verdana" w:hAnsi="Verdana" w:cs="Verdana"/>
          <w:color w:val="404040"/>
        </w:rPr>
        <w:t>·</w:t>
      </w:r>
      <w:r>
        <w:rPr>
          <w:rFonts w:ascii="Times New Roman" w:eastAsia="Times New Roman" w:hAnsi="Times New Roman" w:cs="Times New Roman"/>
          <w:color w:val="404040"/>
          <w:sz w:val="14"/>
          <w:szCs w:val="14"/>
        </w:rPr>
        <w:t xml:space="preserve">      </w:t>
      </w:r>
      <w:r>
        <w:rPr>
          <w:rFonts w:ascii="Verdana" w:eastAsia="Verdana" w:hAnsi="Verdana" w:cs="Verdana"/>
          <w:color w:val="404040"/>
        </w:rPr>
        <w:t>Składka roczna</w:t>
      </w:r>
      <w:r>
        <w:rPr>
          <w:rFonts w:ascii="Verdana" w:eastAsia="Verdana" w:hAnsi="Verdana" w:cs="Verdana"/>
          <w:b/>
          <w:color w:val="404040"/>
        </w:rPr>
        <w:t xml:space="preserve"> już od 500 zł </w:t>
      </w:r>
    </w:p>
    <w:p w:rsidR="001676B5" w:rsidRDefault="00812290">
      <w:pPr>
        <w:ind w:left="700" w:hanging="280"/>
      </w:pPr>
      <w:r>
        <w:rPr>
          <w:rFonts w:ascii="Verdana" w:eastAsia="Verdana" w:hAnsi="Verdana" w:cs="Verdana"/>
          <w:color w:val="404040"/>
        </w:rPr>
        <w:t>·</w:t>
      </w:r>
      <w:r>
        <w:rPr>
          <w:rFonts w:ascii="Times New Roman" w:eastAsia="Times New Roman" w:hAnsi="Times New Roman" w:cs="Times New Roman"/>
          <w:color w:val="404040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b/>
          <w:color w:val="404040"/>
        </w:rPr>
        <w:t>Możliwość wyboru sumy gwarancyjnej</w:t>
      </w:r>
      <w:r>
        <w:rPr>
          <w:rFonts w:ascii="Verdana" w:eastAsia="Verdana" w:hAnsi="Verdana" w:cs="Verdana"/>
          <w:color w:val="404040"/>
        </w:rPr>
        <w:t xml:space="preserve"> – 100 tys zł lub 200 tys. zł. </w:t>
      </w:r>
    </w:p>
    <w:p w:rsidR="001676B5" w:rsidRDefault="00812290">
      <w:pPr>
        <w:ind w:left="700" w:hanging="280"/>
      </w:pPr>
      <w:r>
        <w:rPr>
          <w:rFonts w:ascii="Verdana" w:eastAsia="Verdana" w:hAnsi="Verdana" w:cs="Verdana"/>
          <w:color w:val="404040"/>
        </w:rPr>
        <w:t>·</w:t>
      </w:r>
      <w:r>
        <w:rPr>
          <w:rFonts w:ascii="Times New Roman" w:eastAsia="Times New Roman" w:hAnsi="Times New Roman" w:cs="Times New Roman"/>
          <w:color w:val="404040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b/>
          <w:color w:val="404040"/>
        </w:rPr>
        <w:t>Zapewnia pełną ochronę  - w</w:t>
      </w:r>
      <w:r>
        <w:rPr>
          <w:rFonts w:ascii="Verdana" w:eastAsia="Verdana" w:hAnsi="Verdana" w:cs="Verdana"/>
          <w:color w:val="404040"/>
        </w:rPr>
        <w:t xml:space="preserve"> zakresie wykonywanych czynności.</w:t>
      </w:r>
    </w:p>
    <w:p w:rsidR="001676B5" w:rsidRDefault="00812290">
      <w:pPr>
        <w:ind w:left="700" w:hanging="280"/>
      </w:pPr>
      <w:r>
        <w:rPr>
          <w:rFonts w:ascii="Verdana" w:eastAsia="Verdana" w:hAnsi="Verdana" w:cs="Verdana"/>
          <w:color w:val="404040"/>
        </w:rPr>
        <w:t>·</w:t>
      </w:r>
      <w:r>
        <w:rPr>
          <w:rFonts w:ascii="Times New Roman" w:eastAsia="Times New Roman" w:hAnsi="Times New Roman" w:cs="Times New Roman"/>
          <w:color w:val="404040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b/>
          <w:color w:val="404040"/>
        </w:rPr>
        <w:t>Pełna ochrona - o</w:t>
      </w:r>
      <w:r>
        <w:rPr>
          <w:rFonts w:ascii="Verdana" w:eastAsia="Verdana" w:hAnsi="Verdana" w:cs="Verdana"/>
          <w:color w:val="404040"/>
        </w:rPr>
        <w:t>bejmuje ochroną wszystkie czynności w ramach funkcji zleconych.</w:t>
      </w:r>
    </w:p>
    <w:p w:rsidR="001676B5" w:rsidRDefault="00812290">
      <w:pPr>
        <w:ind w:left="700" w:hanging="280"/>
      </w:pPr>
      <w:r>
        <w:rPr>
          <w:rFonts w:ascii="Verdana" w:eastAsia="Verdana" w:hAnsi="Verdana" w:cs="Verdana"/>
          <w:color w:val="404040"/>
        </w:rPr>
        <w:t xml:space="preserve"> </w:t>
      </w:r>
    </w:p>
    <w:p w:rsidR="001676B5" w:rsidRDefault="00812290">
      <w:hyperlink r:id="rId11">
        <w:r>
          <w:rPr>
            <w:rFonts w:ascii="Verdana" w:eastAsia="Verdana" w:hAnsi="Verdana" w:cs="Verdana"/>
            <w:color w:val="555555"/>
          </w:rPr>
          <w:t>WIĘCEJ &gt;</w:t>
        </w:r>
      </w:hyperlink>
      <w:r>
        <w:rPr>
          <w:rFonts w:ascii="Verdana" w:eastAsia="Verdana" w:hAnsi="Verdana" w:cs="Verdana"/>
          <w:color w:val="404040"/>
        </w:rPr>
        <w:t>&gt;</w:t>
      </w:r>
    </w:p>
    <w:p w:rsidR="001676B5" w:rsidRDefault="001676B5"/>
    <w:p w:rsidR="001676B5" w:rsidRDefault="00812290">
      <w:r>
        <w:rPr>
          <w:rFonts w:ascii="Verdana" w:eastAsia="Verdana" w:hAnsi="Verdana" w:cs="Verdana"/>
          <w:color w:val="404040"/>
        </w:rPr>
        <w:t xml:space="preserve"> </w:t>
      </w:r>
    </w:p>
    <w:p w:rsidR="001676B5" w:rsidRDefault="00812290">
      <w:pPr>
        <w:pStyle w:val="Nagwek4"/>
        <w:keepNext w:val="0"/>
        <w:keepLines w:val="0"/>
        <w:spacing w:before="240" w:after="40"/>
        <w:contextualSpacing w:val="0"/>
      </w:pPr>
      <w:bookmarkStart w:id="6" w:name="_4ziuggf6p5ix" w:colFirst="0" w:colLast="0"/>
      <w:bookmarkEnd w:id="6"/>
      <w:r>
        <w:rPr>
          <w:rFonts w:ascii="Times New Roman" w:eastAsia="Times New Roman" w:hAnsi="Times New Roman" w:cs="Times New Roman"/>
          <w:b/>
          <w:color w:val="404040"/>
          <w:sz w:val="22"/>
          <w:szCs w:val="22"/>
        </w:rPr>
        <w:t>IV  UBEZPIECZENIE MAJĄTKU KANCELARII ADWOKACKIEJ</w:t>
      </w:r>
    </w:p>
    <w:p w:rsidR="001676B5" w:rsidRDefault="00812290">
      <w:r>
        <w:rPr>
          <w:rFonts w:ascii="Verdana" w:eastAsia="Verdana" w:hAnsi="Verdana" w:cs="Verdana"/>
          <w:color w:val="404040"/>
        </w:rPr>
        <w:t>Polisa zapewnia wszechstronną ochronę na wypadek strat majątkowych pr</w:t>
      </w:r>
      <w:r>
        <w:rPr>
          <w:rFonts w:ascii="Verdana" w:eastAsia="Verdana" w:hAnsi="Verdana" w:cs="Verdana"/>
          <w:color w:val="404040"/>
        </w:rPr>
        <w:t>zy niskim poziomie składek.</w:t>
      </w:r>
    </w:p>
    <w:p w:rsidR="001676B5" w:rsidRDefault="00812290">
      <w:pPr>
        <w:spacing w:after="120"/>
        <w:ind w:left="740" w:hanging="320"/>
      </w:pPr>
      <w:r>
        <w:rPr>
          <w:rFonts w:ascii="Verdana" w:eastAsia="Verdana" w:hAnsi="Verdana" w:cs="Verdana"/>
          <w:color w:val="404040"/>
        </w:rPr>
        <w:lastRenderedPageBreak/>
        <w:t>·</w:t>
      </w:r>
      <w:r>
        <w:rPr>
          <w:rFonts w:ascii="Times New Roman" w:eastAsia="Times New Roman" w:hAnsi="Times New Roman" w:cs="Times New Roman"/>
          <w:color w:val="404040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b/>
          <w:color w:val="404040"/>
        </w:rPr>
        <w:t xml:space="preserve">Składka roczna już od 300 zł. </w:t>
      </w:r>
    </w:p>
    <w:p w:rsidR="001676B5" w:rsidRDefault="00812290">
      <w:pPr>
        <w:ind w:left="700" w:hanging="280"/>
      </w:pPr>
      <w:r>
        <w:rPr>
          <w:rFonts w:ascii="Verdana" w:eastAsia="Verdana" w:hAnsi="Verdana" w:cs="Verdana"/>
          <w:color w:val="404040"/>
        </w:rPr>
        <w:t>·</w:t>
      </w:r>
      <w:r>
        <w:rPr>
          <w:rFonts w:ascii="Times New Roman" w:eastAsia="Times New Roman" w:hAnsi="Times New Roman" w:cs="Times New Roman"/>
          <w:color w:val="404040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b/>
          <w:color w:val="404040"/>
        </w:rPr>
        <w:t xml:space="preserve">Szeroki wybór sum ubezpieczenia: </w:t>
      </w:r>
      <w:r>
        <w:rPr>
          <w:rFonts w:ascii="Verdana" w:eastAsia="Verdana" w:hAnsi="Verdana" w:cs="Verdana"/>
          <w:color w:val="404040"/>
        </w:rPr>
        <w:t xml:space="preserve">80 tys. – 120 tys. – 160 tys. zł. </w:t>
      </w:r>
    </w:p>
    <w:p w:rsidR="001676B5" w:rsidRDefault="00812290">
      <w:pPr>
        <w:ind w:left="700" w:hanging="280"/>
      </w:pPr>
      <w:r>
        <w:rPr>
          <w:rFonts w:ascii="Verdana" w:eastAsia="Verdana" w:hAnsi="Verdana" w:cs="Verdana"/>
          <w:color w:val="404040"/>
        </w:rPr>
        <w:t>·</w:t>
      </w:r>
      <w:r>
        <w:rPr>
          <w:rFonts w:ascii="Times New Roman" w:eastAsia="Times New Roman" w:hAnsi="Times New Roman" w:cs="Times New Roman"/>
          <w:color w:val="404040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b/>
          <w:color w:val="404040"/>
        </w:rPr>
        <w:t xml:space="preserve">Pełna ochrona mienia, dopasowana do potrzeb kancelarii adwokackich: </w:t>
      </w:r>
      <w:r>
        <w:rPr>
          <w:rFonts w:ascii="Verdana" w:eastAsia="Verdana" w:hAnsi="Verdana" w:cs="Verdana"/>
          <w:color w:val="404040"/>
        </w:rPr>
        <w:t>wyposażenie, nakłady adaptacyjne, sprzęt</w:t>
      </w:r>
      <w:r>
        <w:rPr>
          <w:rFonts w:ascii="Verdana" w:eastAsia="Verdana" w:hAnsi="Verdana" w:cs="Verdana"/>
          <w:color w:val="404040"/>
        </w:rPr>
        <w:t xml:space="preserve"> elektroniczny, wartości pieniężne, mienie osobiste pracowników, szyby i inne elementy szklane, reklamy i tablice informacyjne, opcjonalnie: odtworzenia dokumentacji.</w:t>
      </w:r>
    </w:p>
    <w:p w:rsidR="001676B5" w:rsidRDefault="00812290">
      <w:r>
        <w:rPr>
          <w:rFonts w:ascii="Verdana" w:eastAsia="Verdana" w:hAnsi="Verdana" w:cs="Verdana"/>
          <w:color w:val="404040"/>
        </w:rPr>
        <w:t xml:space="preserve"> </w:t>
      </w:r>
    </w:p>
    <w:p w:rsidR="001676B5" w:rsidRDefault="00812290">
      <w:hyperlink r:id="rId12">
        <w:r>
          <w:rPr>
            <w:rFonts w:ascii="Verdana" w:eastAsia="Verdana" w:hAnsi="Verdana" w:cs="Verdana"/>
            <w:color w:val="555555"/>
          </w:rPr>
          <w:t>WIĘCEJ &gt;&gt;</w:t>
        </w:r>
      </w:hyperlink>
    </w:p>
    <w:p w:rsidR="001676B5" w:rsidRDefault="00812290">
      <w:r>
        <w:rPr>
          <w:rFonts w:ascii="Verdana" w:eastAsia="Verdana" w:hAnsi="Verdana" w:cs="Verdana"/>
          <w:color w:val="404040"/>
        </w:rPr>
        <w:t xml:space="preserve"> </w:t>
      </w:r>
    </w:p>
    <w:p w:rsidR="001676B5" w:rsidRDefault="00812290">
      <w:r>
        <w:rPr>
          <w:rFonts w:ascii="Verdana" w:eastAsia="Verdana" w:hAnsi="Verdana" w:cs="Verdana"/>
          <w:color w:val="404040"/>
        </w:rPr>
        <w:t xml:space="preserve"> </w:t>
      </w:r>
    </w:p>
    <w:p w:rsidR="001676B5" w:rsidRDefault="00812290">
      <w:pPr>
        <w:pStyle w:val="Nagwek4"/>
        <w:keepNext w:val="0"/>
        <w:keepLines w:val="0"/>
        <w:spacing w:before="240" w:after="40"/>
        <w:contextualSpacing w:val="0"/>
      </w:pPr>
      <w:bookmarkStart w:id="7" w:name="_7ms43u2d9gbs" w:colFirst="0" w:colLast="0"/>
      <w:bookmarkEnd w:id="7"/>
      <w:r>
        <w:rPr>
          <w:rFonts w:ascii="Times New Roman" w:eastAsia="Times New Roman" w:hAnsi="Times New Roman" w:cs="Times New Roman"/>
          <w:b/>
          <w:color w:val="404040"/>
          <w:sz w:val="22"/>
          <w:szCs w:val="22"/>
        </w:rPr>
        <w:t>V  OC APLIKANTA</w:t>
      </w:r>
    </w:p>
    <w:p w:rsidR="001676B5" w:rsidRDefault="00812290">
      <w:r>
        <w:rPr>
          <w:rFonts w:ascii="Verdana" w:eastAsia="Verdana" w:hAnsi="Verdana" w:cs="Verdana"/>
          <w:color w:val="404040"/>
        </w:rPr>
        <w:t xml:space="preserve">Zapewnia aplikantowi i kancelarii dodatkową ochronę niezależnie od polisy pracodawcy. </w:t>
      </w:r>
    </w:p>
    <w:p w:rsidR="001676B5" w:rsidRDefault="00812290">
      <w:pPr>
        <w:spacing w:line="288" w:lineRule="auto"/>
        <w:ind w:left="700" w:hanging="280"/>
      </w:pPr>
      <w:r>
        <w:rPr>
          <w:rFonts w:ascii="Verdana" w:eastAsia="Verdana" w:hAnsi="Verdana" w:cs="Verdana"/>
          <w:color w:val="404040"/>
        </w:rPr>
        <w:t>·</w:t>
      </w:r>
      <w:r>
        <w:rPr>
          <w:rFonts w:ascii="Times New Roman" w:eastAsia="Times New Roman" w:hAnsi="Times New Roman" w:cs="Times New Roman"/>
          <w:color w:val="404040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b/>
          <w:color w:val="404040"/>
        </w:rPr>
        <w:t>Możliwość wyboru sumy gwarancyjnej: 5</w:t>
      </w:r>
      <w:r>
        <w:rPr>
          <w:rFonts w:ascii="Verdana" w:eastAsia="Verdana" w:hAnsi="Verdana" w:cs="Verdana"/>
          <w:color w:val="404040"/>
        </w:rPr>
        <w:t xml:space="preserve">0 tys. – 100 tys. – 200 tys. euro </w:t>
      </w:r>
    </w:p>
    <w:p w:rsidR="001676B5" w:rsidRDefault="001676B5">
      <w:pPr>
        <w:spacing w:line="288" w:lineRule="auto"/>
        <w:ind w:left="700" w:hanging="280"/>
      </w:pPr>
    </w:p>
    <w:p w:rsidR="001676B5" w:rsidRDefault="00812290">
      <w:hyperlink r:id="rId13">
        <w:r>
          <w:rPr>
            <w:rFonts w:ascii="Verdana" w:eastAsia="Verdana" w:hAnsi="Verdana" w:cs="Verdana"/>
            <w:color w:val="555555"/>
          </w:rPr>
          <w:t>WIĘCEJ &gt;&gt;</w:t>
        </w:r>
      </w:hyperlink>
    </w:p>
    <w:p w:rsidR="001676B5" w:rsidRDefault="00812290">
      <w:r>
        <w:rPr>
          <w:rFonts w:ascii="Verdana" w:eastAsia="Verdana" w:hAnsi="Verdana" w:cs="Verdana"/>
          <w:color w:val="404040"/>
        </w:rPr>
        <w:t xml:space="preserve"> </w:t>
      </w:r>
    </w:p>
    <w:p w:rsidR="001676B5" w:rsidRDefault="00812290">
      <w:r>
        <w:rPr>
          <w:rFonts w:ascii="Verdana" w:eastAsia="Verdana" w:hAnsi="Verdana" w:cs="Verdana"/>
          <w:color w:val="404040"/>
        </w:rPr>
        <w:t xml:space="preserve"> </w:t>
      </w:r>
    </w:p>
    <w:p w:rsidR="001676B5" w:rsidRDefault="00812290">
      <w:pPr>
        <w:pStyle w:val="Nagwek4"/>
        <w:keepNext w:val="0"/>
        <w:keepLines w:val="0"/>
        <w:spacing w:before="240" w:after="40"/>
        <w:contextualSpacing w:val="0"/>
      </w:pPr>
      <w:bookmarkStart w:id="8" w:name="_9r3q6e348dyf" w:colFirst="0" w:colLast="0"/>
      <w:bookmarkEnd w:id="8"/>
      <w:r>
        <w:rPr>
          <w:rFonts w:ascii="Times New Roman" w:eastAsia="Times New Roman" w:hAnsi="Times New Roman" w:cs="Times New Roman"/>
          <w:b/>
          <w:color w:val="404040"/>
          <w:sz w:val="22"/>
          <w:szCs w:val="22"/>
        </w:rPr>
        <w:t>VI  NNW ADWOKATA</w:t>
      </w:r>
    </w:p>
    <w:p w:rsidR="001676B5" w:rsidRDefault="00812290">
      <w:r>
        <w:rPr>
          <w:rFonts w:ascii="Verdana" w:eastAsia="Verdana" w:hAnsi="Verdana" w:cs="Verdana"/>
          <w:color w:val="404040"/>
        </w:rPr>
        <w:t>Zapewnia wszechstronną ochronę od następstw nieszczęśliwych wypadków w życiu zawodowym i prywatnym.</w:t>
      </w:r>
    </w:p>
    <w:p w:rsidR="001676B5" w:rsidRDefault="00812290">
      <w:pPr>
        <w:pStyle w:val="Nagwek4"/>
        <w:keepNext w:val="0"/>
        <w:keepLines w:val="0"/>
        <w:spacing w:before="240" w:after="40"/>
        <w:contextualSpacing w:val="0"/>
      </w:pPr>
      <w:bookmarkStart w:id="9" w:name="_qutdk3kbr7wz" w:colFirst="0" w:colLast="0"/>
      <w:bookmarkEnd w:id="9"/>
      <w:r>
        <w:rPr>
          <w:rFonts w:ascii="Times New Roman" w:eastAsia="Times New Roman" w:hAnsi="Times New Roman" w:cs="Times New Roman"/>
          <w:b/>
          <w:color w:val="404040"/>
          <w:sz w:val="22"/>
          <w:szCs w:val="22"/>
        </w:rPr>
        <w:t>Zalety:</w:t>
      </w:r>
    </w:p>
    <w:p w:rsidR="001676B5" w:rsidRDefault="00812290">
      <w:pPr>
        <w:ind w:left="700" w:hanging="280"/>
      </w:pPr>
      <w:r>
        <w:rPr>
          <w:rFonts w:ascii="Verdana" w:eastAsia="Verdana" w:hAnsi="Verdana" w:cs="Verdana"/>
          <w:color w:val="404040"/>
        </w:rPr>
        <w:t>·</w:t>
      </w:r>
      <w:r>
        <w:rPr>
          <w:rFonts w:ascii="Times New Roman" w:eastAsia="Times New Roman" w:hAnsi="Times New Roman" w:cs="Times New Roman"/>
          <w:color w:val="404040"/>
          <w:sz w:val="14"/>
          <w:szCs w:val="14"/>
        </w:rPr>
        <w:t xml:space="preserve">      </w:t>
      </w:r>
      <w:r>
        <w:rPr>
          <w:rFonts w:ascii="Verdana" w:eastAsia="Verdana" w:hAnsi="Verdana" w:cs="Verdana"/>
          <w:color w:val="404040"/>
        </w:rPr>
        <w:t xml:space="preserve">Składka roczna już </w:t>
      </w:r>
      <w:r>
        <w:rPr>
          <w:rFonts w:ascii="Verdana" w:eastAsia="Verdana" w:hAnsi="Verdana" w:cs="Verdana"/>
          <w:b/>
          <w:color w:val="404040"/>
        </w:rPr>
        <w:t>od 72 zł</w:t>
      </w:r>
      <w:r>
        <w:rPr>
          <w:rFonts w:ascii="Verdana" w:eastAsia="Verdana" w:hAnsi="Verdana" w:cs="Verdana"/>
          <w:color w:val="404040"/>
        </w:rPr>
        <w:t xml:space="preserve">. </w:t>
      </w:r>
    </w:p>
    <w:p w:rsidR="001676B5" w:rsidRDefault="00812290">
      <w:pPr>
        <w:ind w:left="700" w:hanging="280"/>
      </w:pPr>
      <w:r>
        <w:rPr>
          <w:rFonts w:ascii="Verdana" w:eastAsia="Verdana" w:hAnsi="Verdana" w:cs="Verdana"/>
          <w:color w:val="404040"/>
        </w:rPr>
        <w:t>·</w:t>
      </w:r>
      <w:r>
        <w:rPr>
          <w:rFonts w:ascii="Times New Roman" w:eastAsia="Times New Roman" w:hAnsi="Times New Roman" w:cs="Times New Roman"/>
          <w:color w:val="404040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b/>
          <w:color w:val="404040"/>
        </w:rPr>
        <w:t xml:space="preserve">Możliwość wyboru sumy gwarancyjnej: </w:t>
      </w:r>
      <w:r>
        <w:rPr>
          <w:rFonts w:ascii="Verdana" w:eastAsia="Verdana" w:hAnsi="Verdana" w:cs="Verdana"/>
          <w:color w:val="404040"/>
        </w:rPr>
        <w:t xml:space="preserve">25 tys. – 50 tys. – 100 tys. zł. </w:t>
      </w:r>
    </w:p>
    <w:p w:rsidR="001676B5" w:rsidRDefault="00812290">
      <w:pPr>
        <w:ind w:left="700" w:hanging="280"/>
      </w:pPr>
      <w:r>
        <w:rPr>
          <w:rFonts w:ascii="Verdana" w:eastAsia="Verdana" w:hAnsi="Verdana" w:cs="Verdana"/>
          <w:color w:val="404040"/>
        </w:rPr>
        <w:t>·</w:t>
      </w:r>
      <w:r>
        <w:rPr>
          <w:rFonts w:ascii="Times New Roman" w:eastAsia="Times New Roman" w:hAnsi="Times New Roman" w:cs="Times New Roman"/>
          <w:color w:val="404040"/>
          <w:sz w:val="14"/>
          <w:szCs w:val="14"/>
        </w:rPr>
        <w:t xml:space="preserve">      </w:t>
      </w:r>
      <w:r>
        <w:rPr>
          <w:rFonts w:ascii="Times New Roman" w:eastAsia="Times New Roman" w:hAnsi="Times New Roman" w:cs="Times New Roman"/>
          <w:b/>
          <w:color w:val="404040"/>
        </w:rPr>
        <w:t>Szeroki zakres ochrony - ob</w:t>
      </w:r>
      <w:r>
        <w:rPr>
          <w:rFonts w:ascii="Verdana" w:eastAsia="Verdana" w:hAnsi="Verdana" w:cs="Verdana"/>
          <w:color w:val="404040"/>
        </w:rPr>
        <w:t>ejmuje świadczenia z tytułu uszczerbku na zdrowiu i śmierci. Włączenie do ochrony m.in. zawału serca i krwotoków śródczaszkowych (tzw. wylew)</w:t>
      </w:r>
      <w:r>
        <w:rPr>
          <w:rFonts w:ascii="Verdana" w:eastAsia="Verdana" w:hAnsi="Verdana" w:cs="Verdana"/>
          <w:color w:val="404040"/>
          <w:u w:val="single"/>
        </w:rPr>
        <w:t xml:space="preserve">. </w:t>
      </w:r>
    </w:p>
    <w:p w:rsidR="001676B5" w:rsidRDefault="00812290">
      <w:pPr>
        <w:ind w:left="700" w:hanging="280"/>
      </w:pPr>
      <w:r>
        <w:rPr>
          <w:rFonts w:ascii="Verdana" w:eastAsia="Verdana" w:hAnsi="Verdana" w:cs="Verdana"/>
          <w:color w:val="404040"/>
          <w:u w:val="single"/>
        </w:rPr>
        <w:t xml:space="preserve"> </w:t>
      </w:r>
    </w:p>
    <w:p w:rsidR="001676B5" w:rsidRDefault="00812290">
      <w:pPr>
        <w:ind w:hanging="440"/>
      </w:pPr>
      <w:r>
        <w:rPr>
          <w:rFonts w:ascii="Verdana" w:eastAsia="Verdana" w:hAnsi="Verdana" w:cs="Verdana"/>
          <w:color w:val="404040"/>
        </w:rPr>
        <w:t xml:space="preserve">       </w:t>
      </w:r>
      <w:hyperlink r:id="rId14">
        <w:r>
          <w:rPr>
            <w:rFonts w:ascii="Verdana" w:eastAsia="Verdana" w:hAnsi="Verdana" w:cs="Verdana"/>
            <w:color w:val="555555"/>
          </w:rPr>
          <w:t>WIĘCEJ &gt;&gt;</w:t>
        </w:r>
      </w:hyperlink>
    </w:p>
    <w:p w:rsidR="001676B5" w:rsidRDefault="00812290">
      <w:r>
        <w:rPr>
          <w:rFonts w:ascii="Verdana" w:eastAsia="Verdana" w:hAnsi="Verdana" w:cs="Verdana"/>
          <w:color w:val="404040"/>
        </w:rPr>
        <w:t xml:space="preserve"> </w:t>
      </w:r>
    </w:p>
    <w:p w:rsidR="001676B5" w:rsidRDefault="001676B5"/>
    <w:p w:rsidR="001676B5" w:rsidRDefault="00812290">
      <w:r>
        <w:rPr>
          <w:rFonts w:ascii="Verdana" w:eastAsia="Verdana" w:hAnsi="Verdana" w:cs="Verdana"/>
          <w:color w:val="404040"/>
        </w:rPr>
        <w:t>Sprzedaż i obsługę techniczną wszystkich ubezpieczeń objętych Umową Generalną prowadzi iExpert.pl SA</w:t>
      </w:r>
    </w:p>
    <w:p w:rsidR="001676B5" w:rsidRDefault="001676B5"/>
    <w:p w:rsidR="001676B5" w:rsidRDefault="00812290">
      <w:r>
        <w:rPr>
          <w:rFonts w:ascii="Verdana" w:eastAsia="Verdana" w:hAnsi="Verdana" w:cs="Verdana"/>
          <w:b/>
          <w:color w:val="404040"/>
        </w:rPr>
        <w:t xml:space="preserve">Szczegółowych informacji udziela: </w:t>
      </w:r>
    </w:p>
    <w:p w:rsidR="001676B5" w:rsidRDefault="001676B5"/>
    <w:p w:rsidR="001676B5" w:rsidRPr="00812290" w:rsidRDefault="00812290">
      <w:pPr>
        <w:rPr>
          <w:lang w:val="en-US"/>
        </w:rPr>
      </w:pPr>
      <w:r w:rsidRPr="00812290">
        <w:rPr>
          <w:rFonts w:ascii="Verdana" w:eastAsia="Verdana" w:hAnsi="Verdana" w:cs="Verdana"/>
          <w:color w:val="404040"/>
          <w:lang w:val="en-US"/>
        </w:rPr>
        <w:t>Milena Dynus</w:t>
      </w:r>
    </w:p>
    <w:p w:rsidR="00812290" w:rsidRDefault="00812290" w:rsidP="00812290">
      <w:pPr>
        <w:rPr>
          <w:rFonts w:ascii="Verdana" w:eastAsia="Verdana" w:hAnsi="Verdana" w:cs="Verdana"/>
          <w:color w:val="404040"/>
          <w:lang w:val="en-US"/>
        </w:rPr>
      </w:pPr>
      <w:r w:rsidRPr="00812290">
        <w:rPr>
          <w:rFonts w:ascii="Verdana" w:eastAsia="Verdana" w:hAnsi="Verdana" w:cs="Verdana"/>
          <w:color w:val="404040"/>
          <w:lang w:val="en-US"/>
        </w:rPr>
        <w:t xml:space="preserve">iExpert.pl </w:t>
      </w:r>
    </w:p>
    <w:p w:rsidR="001676B5" w:rsidRPr="00812290" w:rsidRDefault="00812290">
      <w:pPr>
        <w:rPr>
          <w:rFonts w:ascii="Verdana" w:eastAsia="Verdana" w:hAnsi="Verdana" w:cs="Verdana"/>
          <w:color w:val="404040"/>
          <w:lang w:val="en-US"/>
        </w:rPr>
      </w:pPr>
      <w:r w:rsidRPr="00812290">
        <w:rPr>
          <w:rFonts w:ascii="Verdana" w:eastAsia="Verdana" w:hAnsi="Verdana" w:cs="Verdana"/>
          <w:color w:val="404040"/>
          <w:lang w:val="en-US"/>
        </w:rPr>
        <w:t>k: 882 102 221 </w:t>
      </w:r>
    </w:p>
    <w:p w:rsidR="001676B5" w:rsidRPr="00812290" w:rsidRDefault="00812290">
      <w:pPr>
        <w:rPr>
          <w:lang w:val="en-US"/>
        </w:rPr>
      </w:pPr>
      <w:r w:rsidRPr="00812290">
        <w:rPr>
          <w:rFonts w:ascii="Verdana" w:eastAsia="Verdana" w:hAnsi="Verdana" w:cs="Verdana"/>
          <w:color w:val="404040"/>
          <w:lang w:val="en-US"/>
        </w:rPr>
        <w:t>tel.: 22 646 42 42</w:t>
      </w:r>
    </w:p>
    <w:p w:rsidR="00812290" w:rsidRDefault="00812290">
      <w:pPr>
        <w:rPr>
          <w:rFonts w:ascii="Verdana" w:eastAsia="Verdana" w:hAnsi="Verdana" w:cs="Verdana"/>
          <w:color w:val="404040"/>
          <w:lang w:val="en-US"/>
        </w:rPr>
      </w:pPr>
      <w:hyperlink r:id="rId15" w:tgtFrame="_blank" w:history="1">
        <w:r w:rsidRPr="00812290">
          <w:rPr>
            <w:rStyle w:val="Hipercze"/>
            <w:rFonts w:ascii="Verdana" w:eastAsia="Verdana" w:hAnsi="Verdana" w:cs="Verdana"/>
            <w:lang w:val="en-US"/>
          </w:rPr>
          <w:t>milena.dynus@iexpert.pl</w:t>
        </w:r>
      </w:hyperlink>
      <w:bookmarkStart w:id="10" w:name="_GoBack"/>
      <w:bookmarkEnd w:id="10"/>
    </w:p>
    <w:p w:rsidR="001676B5" w:rsidRPr="00812290" w:rsidRDefault="00812290">
      <w:pPr>
        <w:rPr>
          <w:lang w:val="en-US"/>
        </w:rPr>
      </w:pPr>
      <w:hyperlink r:id="rId16">
        <w:r w:rsidRPr="00812290">
          <w:rPr>
            <w:rFonts w:ascii="Verdana" w:eastAsia="Verdana" w:hAnsi="Verdana" w:cs="Verdana"/>
            <w:color w:val="555555"/>
            <w:lang w:val="en-US"/>
          </w:rPr>
          <w:t>www.adwokaci.iexpert.pl</w:t>
        </w:r>
      </w:hyperlink>
      <w:r w:rsidRPr="00812290">
        <w:rPr>
          <w:rFonts w:ascii="Verdana" w:eastAsia="Verdana" w:hAnsi="Verdana" w:cs="Verdana"/>
          <w:color w:val="404040"/>
          <w:lang w:val="en-US"/>
        </w:rPr>
        <w:t xml:space="preserve"> </w:t>
      </w:r>
    </w:p>
    <w:p w:rsidR="001676B5" w:rsidRPr="00812290" w:rsidRDefault="001676B5">
      <w:pPr>
        <w:rPr>
          <w:lang w:val="en-US"/>
        </w:rPr>
      </w:pPr>
    </w:p>
    <w:p w:rsidR="001676B5" w:rsidRPr="00812290" w:rsidRDefault="001676B5">
      <w:pPr>
        <w:rPr>
          <w:lang w:val="en-US"/>
        </w:rPr>
      </w:pPr>
    </w:p>
    <w:p w:rsidR="001676B5" w:rsidRPr="00812290" w:rsidRDefault="001676B5">
      <w:pPr>
        <w:rPr>
          <w:lang w:val="en-US"/>
        </w:rPr>
      </w:pPr>
    </w:p>
    <w:p w:rsidR="001676B5" w:rsidRDefault="00812290">
      <w:r>
        <w:rPr>
          <w:rFonts w:ascii="Times New Roman" w:eastAsia="Times New Roman" w:hAnsi="Times New Roman" w:cs="Times New Roman"/>
          <w:b/>
          <w:color w:val="404040"/>
        </w:rPr>
        <w:t>Zgłaszanie szkód</w:t>
      </w:r>
      <w:r>
        <w:rPr>
          <w:rFonts w:ascii="Times New Roman" w:eastAsia="Times New Roman" w:hAnsi="Times New Roman" w:cs="Times New Roman"/>
          <w:b/>
          <w:color w:val="222222"/>
        </w:rPr>
        <w:t xml:space="preserve">: </w:t>
      </w:r>
    </w:p>
    <w:p w:rsidR="001676B5" w:rsidRDefault="001676B5"/>
    <w:p w:rsidR="001676B5" w:rsidRDefault="00812290">
      <w:r>
        <w:rPr>
          <w:rFonts w:ascii="Verdana" w:eastAsia="Verdana" w:hAnsi="Verdana" w:cs="Verdana"/>
          <w:color w:val="222222"/>
        </w:rPr>
        <w:t>TUiR WARTA S.A.</w:t>
      </w:r>
    </w:p>
    <w:p w:rsidR="001676B5" w:rsidRDefault="00812290">
      <w:r>
        <w:rPr>
          <w:rFonts w:ascii="Verdana" w:eastAsia="Verdana" w:hAnsi="Verdana" w:cs="Verdana"/>
          <w:color w:val="222222"/>
        </w:rPr>
        <w:t>Departament Likwidacji Szkód Korporacyjnych</w:t>
      </w:r>
    </w:p>
    <w:p w:rsidR="001676B5" w:rsidRDefault="00812290">
      <w:r>
        <w:rPr>
          <w:rFonts w:ascii="Verdana" w:eastAsia="Verdana" w:hAnsi="Verdana" w:cs="Verdana"/>
          <w:color w:val="222222"/>
        </w:rPr>
        <w:t>Aleje Jerozolimskie 133A, 02-304 Warszawa</w:t>
      </w:r>
    </w:p>
    <w:p w:rsidR="001676B5" w:rsidRDefault="00812290">
      <w:r>
        <w:rPr>
          <w:rFonts w:ascii="Verdana" w:eastAsia="Verdana" w:hAnsi="Verdana" w:cs="Verdana"/>
          <w:color w:val="222222"/>
        </w:rPr>
        <w:t xml:space="preserve">22 272 12 81 Paulina Kulik </w:t>
      </w:r>
    </w:p>
    <w:p w:rsidR="001676B5" w:rsidRDefault="00812290">
      <w:r>
        <w:rPr>
          <w:rFonts w:ascii="Verdana" w:eastAsia="Verdana" w:hAnsi="Verdana" w:cs="Verdana"/>
          <w:color w:val="222222"/>
        </w:rPr>
        <w:t xml:space="preserve">22 272 12 99 Adam Sacewicz </w:t>
      </w:r>
    </w:p>
    <w:p w:rsidR="001676B5" w:rsidRDefault="001676B5">
      <w:pPr>
        <w:spacing w:line="288" w:lineRule="auto"/>
      </w:pPr>
    </w:p>
    <w:p w:rsidR="001676B5" w:rsidRDefault="001676B5"/>
    <w:sectPr w:rsidR="001676B5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676B5"/>
    <w:rsid w:val="001676B5"/>
    <w:rsid w:val="0081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8122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812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2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wokaci.iexpert.pl/oc-nadwyzkowe-kancelarii-zespolow-adwokackich-spolek/" TargetMode="External"/><Relationship Id="rId13" Type="http://schemas.openxmlformats.org/officeDocument/2006/relationships/hyperlink" Target="https://adwokaci.iexpert.pl/oc-aplikanta-adwokat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dwokaci.iexpert.pl/oc-obowiazkowe/" TargetMode="External"/><Relationship Id="rId12" Type="http://schemas.openxmlformats.org/officeDocument/2006/relationships/hyperlink" Target="https://adwokaci.iexpert.pl/majatek-kancelarii-adwokata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adwokaci.iexpert.pl/" TargetMode="External"/><Relationship Id="rId1" Type="http://schemas.openxmlformats.org/officeDocument/2006/relationships/styles" Target="styles.xml"/><Relationship Id="rId6" Type="http://schemas.openxmlformats.org/officeDocument/2006/relationships/hyperlink" Target="https://adwokaci.iexpert.pl/oc-obowiazkowe/" TargetMode="External"/><Relationship Id="rId11" Type="http://schemas.openxmlformats.org/officeDocument/2006/relationships/hyperlink" Target="https://adwokaci.iexpert.pl/oc-syndyka/" TargetMode="External"/><Relationship Id="rId5" Type="http://schemas.openxmlformats.org/officeDocument/2006/relationships/hyperlink" Target="https://adwokaci.iexpert.pl/oc-obowiazkowe/" TargetMode="External"/><Relationship Id="rId15" Type="http://schemas.openxmlformats.org/officeDocument/2006/relationships/hyperlink" Target="mailto:milena.dynus@iexpert.pl" TargetMode="External"/><Relationship Id="rId10" Type="http://schemas.openxmlformats.org/officeDocument/2006/relationships/hyperlink" Target="https://adwokaci.iexpert.pl/ubezpieczenie-oc-nadwyzkowe-claims-ma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wokaci.iexpert.pl/ubezpieczenie-oc-nadwyzkowe-claims-made/" TargetMode="External"/><Relationship Id="rId14" Type="http://schemas.openxmlformats.org/officeDocument/2006/relationships/hyperlink" Target="https://adwokaci.iexpert.pl/nnw-adwokat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2</cp:revision>
  <dcterms:created xsi:type="dcterms:W3CDTF">2017-06-30T06:45:00Z</dcterms:created>
  <dcterms:modified xsi:type="dcterms:W3CDTF">2017-06-30T06:45:00Z</dcterms:modified>
</cp:coreProperties>
</file>