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51" w:rsidRDefault="00823C51" w:rsidP="00B33A1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B33A1F" w:rsidRPr="00E8745B" w:rsidRDefault="00C66D88" w:rsidP="00B33A1F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66D88">
        <w:rPr>
          <w:rFonts w:ascii="Arial" w:hAnsi="Arial" w:cs="Arial"/>
          <w:sz w:val="22"/>
          <w:szCs w:val="22"/>
          <w:lang w:val="pl-PL"/>
        </w:rPr>
        <w:t xml:space="preserve">Okręgowa Rada Adwokacka w </w:t>
      </w:r>
      <w:r w:rsidR="00AF536E">
        <w:rPr>
          <w:rFonts w:ascii="Arial" w:hAnsi="Arial" w:cs="Arial"/>
          <w:sz w:val="22"/>
          <w:szCs w:val="22"/>
          <w:lang w:val="pl-PL"/>
        </w:rPr>
        <w:t>Gdańsku</w:t>
      </w:r>
      <w:r w:rsidRPr="00C66D88">
        <w:rPr>
          <w:rFonts w:ascii="Arial" w:hAnsi="Arial" w:cs="Arial"/>
          <w:sz w:val="22"/>
          <w:szCs w:val="22"/>
          <w:lang w:val="pl-PL"/>
        </w:rPr>
        <w:t xml:space="preserve"> informuje, </w:t>
      </w:r>
      <w:r w:rsidR="001B09D3">
        <w:rPr>
          <w:rFonts w:ascii="Arial" w:hAnsi="Arial" w:cs="Arial"/>
          <w:sz w:val="22"/>
          <w:szCs w:val="22"/>
          <w:lang w:val="pl-PL"/>
        </w:rPr>
        <w:t>że Naczelna Rada Adwokacka oraz </w:t>
      </w:r>
      <w:r w:rsidR="00D32A12">
        <w:rPr>
          <w:rFonts w:ascii="Arial" w:hAnsi="Arial" w:cs="Arial"/>
          <w:sz w:val="22"/>
          <w:szCs w:val="22"/>
          <w:lang w:val="pl-PL"/>
        </w:rPr>
        <w:t>STU Ergo </w:t>
      </w:r>
      <w:r>
        <w:rPr>
          <w:rFonts w:ascii="Arial" w:hAnsi="Arial" w:cs="Arial"/>
          <w:sz w:val="22"/>
          <w:szCs w:val="22"/>
          <w:lang w:val="pl-PL"/>
        </w:rPr>
        <w:t xml:space="preserve">Hestia S.A. </w:t>
      </w:r>
      <w:r w:rsidRPr="00C66D88">
        <w:rPr>
          <w:rFonts w:ascii="Arial" w:hAnsi="Arial" w:cs="Arial"/>
          <w:sz w:val="22"/>
          <w:szCs w:val="22"/>
          <w:lang w:val="pl-PL"/>
        </w:rPr>
        <w:t>podpisały umowę generalną w sprawie</w:t>
      </w:r>
      <w:r w:rsidR="00174B1B">
        <w:rPr>
          <w:rFonts w:ascii="Arial" w:hAnsi="Arial" w:cs="Arial"/>
          <w:sz w:val="22"/>
          <w:szCs w:val="22"/>
          <w:lang w:val="pl-PL"/>
        </w:rPr>
        <w:t xml:space="preserve"> programu ubezpieczeniowego dla </w:t>
      </w:r>
      <w:r w:rsidRPr="00C66D88">
        <w:rPr>
          <w:rFonts w:ascii="Arial" w:hAnsi="Arial" w:cs="Arial"/>
          <w:sz w:val="22"/>
          <w:szCs w:val="22"/>
          <w:lang w:val="pl-PL"/>
        </w:rPr>
        <w:t xml:space="preserve">adwokatów na lata </w:t>
      </w:r>
      <w:r w:rsidR="008032D2">
        <w:rPr>
          <w:rFonts w:ascii="Arial" w:hAnsi="Arial" w:cs="Arial"/>
          <w:sz w:val="22"/>
          <w:szCs w:val="22"/>
          <w:lang w:val="pl-PL"/>
        </w:rPr>
        <w:t>2018-2021</w:t>
      </w:r>
      <w:r w:rsidR="00453E5E">
        <w:rPr>
          <w:rFonts w:ascii="Arial" w:hAnsi="Arial" w:cs="Arial"/>
          <w:sz w:val="22"/>
          <w:szCs w:val="22"/>
          <w:lang w:val="pl-PL"/>
        </w:rPr>
        <w:t xml:space="preserve">. Nowa propozycja obejmuje m.in. </w:t>
      </w:r>
      <w:r w:rsidR="00453E5E" w:rsidRPr="00E8745B">
        <w:rPr>
          <w:rFonts w:ascii="Arial" w:hAnsi="Arial" w:cs="Arial"/>
          <w:b/>
          <w:sz w:val="22"/>
          <w:szCs w:val="22"/>
          <w:lang w:val="pl-PL"/>
        </w:rPr>
        <w:t xml:space="preserve">rozszerzony zakres ubezpieczenia, niższe składki za dotychczasowe warianty sum ubezpieczenia oraz nowe warianty sum ubezpieczenia. </w:t>
      </w:r>
    </w:p>
    <w:p w:rsidR="00B33A1F" w:rsidRDefault="00B33A1F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C66D88" w:rsidRDefault="00C66D88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C66D88">
        <w:rPr>
          <w:rFonts w:ascii="Arial" w:hAnsi="Arial" w:cs="Arial"/>
          <w:sz w:val="22"/>
          <w:szCs w:val="22"/>
          <w:lang w:val="pl-PL"/>
        </w:rPr>
        <w:t>Umowa generalna jest dostępna na stronie internetowej:</w:t>
      </w:r>
      <w:r w:rsidR="002506D8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8" w:history="1">
        <w:r w:rsidR="002506D8" w:rsidRPr="002506D8">
          <w:rPr>
            <w:rStyle w:val="Hipercze"/>
            <w:rFonts w:ascii="Arial" w:hAnsi="Arial" w:cs="Arial"/>
            <w:sz w:val="22"/>
            <w:szCs w:val="22"/>
            <w:highlight w:val="yellow"/>
            <w:lang w:val="pl-PL"/>
          </w:rPr>
          <w:t>http://www.adwokat.marsh-zawodowe.pl</w:t>
        </w:r>
      </w:hyperlink>
      <w:r w:rsidR="002506D8">
        <w:rPr>
          <w:rFonts w:ascii="Arial" w:hAnsi="Arial" w:cs="Arial"/>
          <w:sz w:val="22"/>
          <w:szCs w:val="22"/>
          <w:lang w:val="pl-PL"/>
        </w:rPr>
        <w:t xml:space="preserve"> </w:t>
      </w:r>
      <w:r w:rsidRPr="00C66D8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66D88" w:rsidRPr="00C66D88" w:rsidRDefault="00C66D88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C66D88" w:rsidRDefault="00C66D88" w:rsidP="00C66D8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66D88">
        <w:rPr>
          <w:rFonts w:ascii="Arial" w:hAnsi="Arial" w:cs="Arial"/>
          <w:sz w:val="22"/>
          <w:szCs w:val="22"/>
          <w:lang w:val="pl-PL"/>
        </w:rPr>
        <w:t xml:space="preserve">Składki </w:t>
      </w:r>
      <w:r w:rsidR="00AF536E">
        <w:rPr>
          <w:rFonts w:ascii="Arial" w:hAnsi="Arial" w:cs="Arial"/>
          <w:sz w:val="22"/>
          <w:szCs w:val="22"/>
          <w:lang w:val="pl-PL"/>
        </w:rPr>
        <w:t>izbowe wraz z ubezpieczeniem</w:t>
      </w:r>
      <w:r w:rsidR="00B33A1F">
        <w:rPr>
          <w:rFonts w:ascii="Arial" w:hAnsi="Arial" w:cs="Arial"/>
          <w:sz w:val="22"/>
          <w:szCs w:val="22"/>
          <w:lang w:val="pl-PL"/>
        </w:rPr>
        <w:t xml:space="preserve"> </w:t>
      </w:r>
      <w:r w:rsidRPr="00C66D88">
        <w:rPr>
          <w:rFonts w:ascii="Arial" w:hAnsi="Arial" w:cs="Arial"/>
          <w:sz w:val="22"/>
          <w:szCs w:val="22"/>
          <w:lang w:val="pl-PL"/>
        </w:rPr>
        <w:t>OC</w:t>
      </w:r>
      <w:r w:rsidR="00B33A1F">
        <w:rPr>
          <w:rFonts w:ascii="Arial" w:hAnsi="Arial" w:cs="Arial"/>
          <w:sz w:val="22"/>
          <w:szCs w:val="22"/>
          <w:lang w:val="pl-PL"/>
        </w:rPr>
        <w:t>:</w:t>
      </w:r>
      <w:r w:rsidRPr="00C66D88">
        <w:rPr>
          <w:rFonts w:ascii="Arial" w:hAnsi="Arial" w:cs="Arial"/>
          <w:sz w:val="22"/>
          <w:szCs w:val="22"/>
          <w:lang w:val="pl-PL"/>
        </w:rPr>
        <w:t xml:space="preserve"> </w:t>
      </w:r>
      <w:r w:rsidR="00E8745B">
        <w:rPr>
          <w:rFonts w:ascii="Arial" w:hAnsi="Arial" w:cs="Arial"/>
          <w:b/>
          <w:bCs/>
          <w:sz w:val="22"/>
          <w:szCs w:val="22"/>
          <w:lang w:val="pl-PL"/>
        </w:rPr>
        <w:t>należy wpłacić w </w:t>
      </w:r>
      <w:r w:rsidR="00AF536E">
        <w:rPr>
          <w:rFonts w:ascii="Arial" w:hAnsi="Arial" w:cs="Arial"/>
          <w:b/>
          <w:bCs/>
          <w:sz w:val="22"/>
          <w:szCs w:val="22"/>
          <w:lang w:val="pl-PL"/>
        </w:rPr>
        <w:t>nieprzekraczalnym terminie</w:t>
      </w:r>
      <w:bookmarkStart w:id="0" w:name="_GoBack"/>
      <w:bookmarkEnd w:id="0"/>
      <w:r w:rsidRPr="00C66D88">
        <w:rPr>
          <w:rFonts w:ascii="Arial" w:hAnsi="Arial" w:cs="Arial"/>
          <w:b/>
          <w:bCs/>
          <w:sz w:val="22"/>
          <w:szCs w:val="22"/>
          <w:lang w:val="pl-PL"/>
        </w:rPr>
        <w:t xml:space="preserve"> do dnia </w:t>
      </w:r>
      <w:r w:rsidR="00AF536E">
        <w:rPr>
          <w:rFonts w:ascii="Arial" w:hAnsi="Arial" w:cs="Arial"/>
          <w:b/>
          <w:bCs/>
          <w:sz w:val="22"/>
          <w:szCs w:val="22"/>
          <w:highlight w:val="yellow"/>
          <w:lang w:val="pl-PL"/>
        </w:rPr>
        <w:t>10-go</w:t>
      </w:r>
      <w:r w:rsidRPr="00B33A1F">
        <w:rPr>
          <w:rFonts w:ascii="Arial" w:hAnsi="Arial" w:cs="Arial"/>
          <w:b/>
          <w:bCs/>
          <w:sz w:val="22"/>
          <w:szCs w:val="22"/>
          <w:highlight w:val="yellow"/>
          <w:lang w:val="pl-PL"/>
        </w:rPr>
        <w:t xml:space="preserve"> </w:t>
      </w:r>
      <w:r w:rsidR="00AF536E">
        <w:rPr>
          <w:rFonts w:ascii="Arial" w:hAnsi="Arial" w:cs="Arial"/>
          <w:b/>
          <w:bCs/>
          <w:sz w:val="22"/>
          <w:szCs w:val="22"/>
          <w:lang w:val="pl-PL"/>
        </w:rPr>
        <w:t>każdego miesiąca.</w:t>
      </w:r>
      <w:r w:rsidRPr="00C66D8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C66D88" w:rsidRPr="00C66D88" w:rsidRDefault="00C66D88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C66D88" w:rsidRPr="00B33A1F" w:rsidRDefault="00C66D88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C66D88">
        <w:rPr>
          <w:rFonts w:ascii="Arial" w:hAnsi="Arial" w:cs="Arial"/>
          <w:sz w:val="22"/>
          <w:szCs w:val="22"/>
          <w:lang w:val="pl-PL"/>
        </w:rPr>
        <w:t xml:space="preserve">Przypominamy, że </w:t>
      </w:r>
      <w:r w:rsidRPr="00C66D88">
        <w:rPr>
          <w:rFonts w:ascii="Arial" w:hAnsi="Arial" w:cs="Arial"/>
          <w:b/>
          <w:bCs/>
          <w:sz w:val="22"/>
          <w:szCs w:val="22"/>
          <w:lang w:val="pl-PL"/>
        </w:rPr>
        <w:t>jeżeli adwokat</w:t>
      </w:r>
      <w:r w:rsidR="002506D8">
        <w:rPr>
          <w:rFonts w:ascii="Arial" w:hAnsi="Arial" w:cs="Arial"/>
          <w:b/>
          <w:bCs/>
          <w:sz w:val="22"/>
          <w:szCs w:val="22"/>
          <w:lang w:val="pl-PL"/>
        </w:rPr>
        <w:t xml:space="preserve">, który nie złożył wcześniej deklaracji </w:t>
      </w:r>
      <w:r w:rsidRPr="00C66D88">
        <w:rPr>
          <w:rFonts w:ascii="Arial" w:hAnsi="Arial" w:cs="Arial"/>
          <w:sz w:val="22"/>
          <w:szCs w:val="22"/>
          <w:lang w:val="pl-PL"/>
        </w:rPr>
        <w:t>będzie ubezpieczony od dnia poprzedzającego rozpoczęcie wykonywania zawodu</w:t>
      </w:r>
      <w:r w:rsidR="002506D8">
        <w:rPr>
          <w:rFonts w:ascii="Arial" w:hAnsi="Arial" w:cs="Arial"/>
          <w:sz w:val="22"/>
          <w:szCs w:val="22"/>
          <w:lang w:val="pl-PL"/>
        </w:rPr>
        <w:t xml:space="preserve"> na sumę ubezpieczenia 100 000 eur oraz ubezpieczeniem dodatkowym na sumę 250 000 euro.</w:t>
      </w:r>
    </w:p>
    <w:p w:rsidR="00C66D88" w:rsidRPr="00B33A1F" w:rsidRDefault="00C66D88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C66D88" w:rsidRDefault="00C66D88" w:rsidP="001B09D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B33A1F">
        <w:rPr>
          <w:rFonts w:ascii="Arial" w:hAnsi="Arial" w:cs="Arial"/>
          <w:b/>
          <w:lang w:val="pl-PL"/>
        </w:rPr>
        <w:t>Pła</w:t>
      </w:r>
      <w:r w:rsidR="00B33A1F" w:rsidRPr="00B33A1F">
        <w:rPr>
          <w:rFonts w:ascii="Arial" w:hAnsi="Arial" w:cs="Arial"/>
          <w:b/>
          <w:lang w:val="pl-PL"/>
        </w:rPr>
        <w:t>tności i warianty ubezpieczenia:</w:t>
      </w:r>
    </w:p>
    <w:p w:rsidR="001B09D3" w:rsidRPr="00B33A1F" w:rsidRDefault="001B09D3" w:rsidP="001B09D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tbl>
      <w:tblPr>
        <w:tblStyle w:val="Jasnalistaakcent5"/>
        <w:tblpPr w:leftFromText="180" w:rightFromText="180" w:vertAnchor="text" w:horzAnchor="margin" w:tblpX="108" w:tblpY="829"/>
        <w:tblW w:w="9639" w:type="dxa"/>
        <w:tblLook w:val="04A0" w:firstRow="1" w:lastRow="0" w:firstColumn="1" w:lastColumn="0" w:noHBand="0" w:noVBand="1"/>
      </w:tblPr>
      <w:tblGrid>
        <w:gridCol w:w="1843"/>
        <w:gridCol w:w="142"/>
        <w:gridCol w:w="2126"/>
        <w:gridCol w:w="142"/>
        <w:gridCol w:w="1701"/>
        <w:gridCol w:w="142"/>
        <w:gridCol w:w="1559"/>
        <w:gridCol w:w="142"/>
        <w:gridCol w:w="1842"/>
      </w:tblGrid>
      <w:tr w:rsidR="00E8745B" w:rsidRPr="00B33A1F" w:rsidTr="001B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E8745B" w:rsidRPr="00B33A1F" w:rsidRDefault="00E8745B" w:rsidP="001B09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Suma podstawowa (1):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Suma dodatkowa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 miesięczna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 kwartalna</w:t>
            </w:r>
          </w:p>
        </w:tc>
        <w:tc>
          <w:tcPr>
            <w:tcW w:w="1984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Łączna składka roczna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50.000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brak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120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75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300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150.000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70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210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840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200.000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88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264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1,056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250.000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123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369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1,476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300.000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161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483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1,932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400.000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200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600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2,400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500.000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220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660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2,640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1.000.000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257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771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3,084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1.500.000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326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978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3,912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E8745B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2.000.000 EUR [    ]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406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1,218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4,872 zł</w:t>
            </w:r>
          </w:p>
        </w:tc>
      </w:tr>
    </w:tbl>
    <w:p w:rsidR="00B33A1F" w:rsidRDefault="00B33A1F" w:rsidP="001B09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F0E4C">
        <w:rPr>
          <w:rFonts w:ascii="Arial" w:hAnsi="Arial" w:cs="Arial"/>
          <w:i/>
          <w:sz w:val="20"/>
          <w:szCs w:val="20"/>
          <w:lang w:val="pl-PL"/>
        </w:rPr>
        <w:t>Ważne: wszystkie sumy (z wyjątkiem 50.000 EUR) są objęte dodatkowym grupowym ubezpieczeniem OC adwokatów z sumą na jedno i wszystkie zdarzenia i każdego adwoka</w:t>
      </w:r>
      <w:r w:rsidR="00E8745B">
        <w:rPr>
          <w:rFonts w:ascii="Arial" w:hAnsi="Arial" w:cs="Arial"/>
          <w:i/>
          <w:sz w:val="20"/>
          <w:szCs w:val="20"/>
          <w:lang w:val="pl-PL"/>
        </w:rPr>
        <w:t>ta 250.000 EUR oraz łącznie dla </w:t>
      </w:r>
      <w:r w:rsidRPr="008F0E4C">
        <w:rPr>
          <w:rFonts w:ascii="Arial" w:hAnsi="Arial" w:cs="Arial"/>
          <w:i/>
          <w:sz w:val="20"/>
          <w:szCs w:val="20"/>
          <w:lang w:val="pl-PL"/>
        </w:rPr>
        <w:t>wszystkich adwokatów 7.000.000 EUR.</w:t>
      </w:r>
    </w:p>
    <w:p w:rsidR="001B09D3" w:rsidRPr="008F0E4C" w:rsidRDefault="001B09D3" w:rsidP="008F0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8F0E4C" w:rsidRDefault="00E8745B" w:rsidP="008F0E4C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1 -</w:t>
      </w:r>
      <w:r w:rsidR="008F0E4C" w:rsidRPr="008F0E4C">
        <w:rPr>
          <w:rFonts w:ascii="Arial" w:hAnsi="Arial" w:cs="Arial"/>
          <w:i/>
          <w:sz w:val="18"/>
          <w:szCs w:val="18"/>
          <w:lang w:val="pl-PL"/>
        </w:rPr>
        <w:t xml:space="preserve"> przeliczana na PLN wg kursu NBP ogłaszanego po raz pierwszy w</w:t>
      </w:r>
      <w:r w:rsidR="008F0E4C">
        <w:rPr>
          <w:rFonts w:ascii="Arial" w:hAnsi="Arial" w:cs="Arial"/>
          <w:i/>
          <w:sz w:val="18"/>
          <w:szCs w:val="18"/>
          <w:lang w:val="pl-PL"/>
        </w:rPr>
        <w:t xml:space="preserve"> roku ubezpieczenia.</w:t>
      </w:r>
    </w:p>
    <w:p w:rsidR="00D01FE9" w:rsidRDefault="00D01FE9" w:rsidP="008F0E4C">
      <w:pPr>
        <w:spacing w:line="240" w:lineRule="auto"/>
        <w:jc w:val="both"/>
        <w:rPr>
          <w:rFonts w:ascii="Arial" w:hAnsi="Arial" w:cs="Arial"/>
          <w:lang w:val="pl-PL"/>
        </w:rPr>
      </w:pPr>
    </w:p>
    <w:p w:rsidR="0025091C" w:rsidRDefault="0025091C" w:rsidP="008F0E4C">
      <w:pPr>
        <w:spacing w:line="240" w:lineRule="auto"/>
        <w:jc w:val="both"/>
        <w:rPr>
          <w:rFonts w:ascii="Arial" w:hAnsi="Arial" w:cs="Arial"/>
          <w:lang w:val="pl-PL"/>
        </w:rPr>
      </w:pPr>
    </w:p>
    <w:p w:rsidR="0025091C" w:rsidRDefault="0025091C" w:rsidP="008F0E4C">
      <w:pPr>
        <w:spacing w:line="240" w:lineRule="auto"/>
        <w:jc w:val="both"/>
        <w:rPr>
          <w:rFonts w:ascii="Arial" w:hAnsi="Arial" w:cs="Arial"/>
          <w:lang w:val="pl-PL"/>
        </w:rPr>
      </w:pPr>
    </w:p>
    <w:p w:rsidR="00823C51" w:rsidRDefault="008F0E4C" w:rsidP="008F0E4C">
      <w:pPr>
        <w:spacing w:line="240" w:lineRule="auto"/>
        <w:jc w:val="both"/>
        <w:rPr>
          <w:rFonts w:ascii="Arial" w:hAnsi="Arial" w:cs="Arial"/>
          <w:lang w:val="pl-PL"/>
        </w:rPr>
      </w:pPr>
      <w:r w:rsidRPr="008F0E4C">
        <w:rPr>
          <w:rFonts w:ascii="Arial" w:hAnsi="Arial" w:cs="Arial"/>
          <w:lang w:val="pl-PL"/>
        </w:rPr>
        <w:lastRenderedPageBreak/>
        <w:t xml:space="preserve">WAŻNE: </w:t>
      </w:r>
      <w:r w:rsidR="00D01FE9">
        <w:rPr>
          <w:rFonts w:ascii="Arial" w:hAnsi="Arial" w:cs="Arial"/>
          <w:lang w:val="pl-PL"/>
        </w:rPr>
        <w:t xml:space="preserve">nowa oferta obejmuje </w:t>
      </w:r>
      <w:r w:rsidRPr="00D01FE9">
        <w:rPr>
          <w:rFonts w:ascii="Arial" w:hAnsi="Arial" w:cs="Arial"/>
          <w:b/>
          <w:lang w:val="pl-PL"/>
        </w:rPr>
        <w:t>automatyczne</w:t>
      </w:r>
      <w:r w:rsidR="00D01FE9" w:rsidRPr="00D01FE9">
        <w:rPr>
          <w:rFonts w:ascii="Arial" w:hAnsi="Arial" w:cs="Arial"/>
          <w:b/>
          <w:lang w:val="pl-PL"/>
        </w:rPr>
        <w:t>,</w:t>
      </w:r>
      <w:r w:rsidRPr="00D01FE9">
        <w:rPr>
          <w:rFonts w:ascii="Arial" w:hAnsi="Arial" w:cs="Arial"/>
          <w:b/>
          <w:lang w:val="pl-PL"/>
        </w:rPr>
        <w:t xml:space="preserve"> nieodpłatne rozszerzenie</w:t>
      </w:r>
      <w:r w:rsidRPr="008F0E4C">
        <w:rPr>
          <w:rFonts w:ascii="Arial" w:hAnsi="Arial" w:cs="Arial"/>
          <w:lang w:val="pl-PL"/>
        </w:rPr>
        <w:t xml:space="preserve"> w każdym </w:t>
      </w:r>
      <w:r w:rsidR="00D01FE9">
        <w:rPr>
          <w:rFonts w:ascii="Arial" w:hAnsi="Arial" w:cs="Arial"/>
          <w:lang w:val="pl-PL"/>
        </w:rPr>
        <w:t xml:space="preserve">wariancie </w:t>
      </w:r>
      <w:r w:rsidRPr="008F0E4C">
        <w:rPr>
          <w:rFonts w:ascii="Arial" w:hAnsi="Arial" w:cs="Arial"/>
          <w:lang w:val="pl-PL"/>
        </w:rPr>
        <w:t>ubezpieczeni</w:t>
      </w:r>
      <w:r w:rsidR="00D01FE9">
        <w:rPr>
          <w:rFonts w:ascii="Arial" w:hAnsi="Arial" w:cs="Arial"/>
          <w:lang w:val="pl-PL"/>
        </w:rPr>
        <w:t>a,</w:t>
      </w:r>
      <w:r w:rsidRPr="008F0E4C">
        <w:rPr>
          <w:rFonts w:ascii="Arial" w:hAnsi="Arial" w:cs="Arial"/>
          <w:lang w:val="pl-PL"/>
        </w:rPr>
        <w:t xml:space="preserve"> bez dodatkowych </w:t>
      </w:r>
      <w:r w:rsidR="00D01FE9">
        <w:rPr>
          <w:rFonts w:ascii="Arial" w:hAnsi="Arial" w:cs="Arial"/>
          <w:lang w:val="pl-PL"/>
        </w:rPr>
        <w:t>kosztów:</w:t>
      </w:r>
    </w:p>
    <w:p w:rsidR="00823C51" w:rsidRPr="00823C51" w:rsidRDefault="00D01FE9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8F0E4C" w:rsidRPr="00823C51">
        <w:rPr>
          <w:rFonts w:ascii="Arial" w:hAnsi="Arial" w:cs="Arial"/>
          <w:lang w:val="pl-PL"/>
        </w:rPr>
        <w:t>dpowiedzialność cywilna adwokata pełniącego funkcję kuratora - na dodatkową sumę 25.000 z</w:t>
      </w:r>
      <w:r w:rsidR="00823C51" w:rsidRPr="00823C51">
        <w:rPr>
          <w:rFonts w:ascii="Arial" w:hAnsi="Arial" w:cs="Arial"/>
          <w:lang w:val="pl-PL"/>
        </w:rPr>
        <w:t>ł</w:t>
      </w:r>
      <w:r>
        <w:rPr>
          <w:rFonts w:ascii="Arial" w:hAnsi="Arial" w:cs="Arial"/>
          <w:lang w:val="pl-PL"/>
        </w:rPr>
        <w:t>.</w:t>
      </w:r>
    </w:p>
    <w:p w:rsidR="00823C51" w:rsidRPr="00D01FE9" w:rsidRDefault="00D01FE9" w:rsidP="00D01FE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8F0E4C" w:rsidRPr="00823C51">
        <w:rPr>
          <w:rFonts w:ascii="Arial" w:hAnsi="Arial" w:cs="Arial"/>
          <w:lang w:val="pl-PL"/>
        </w:rPr>
        <w:t>dpowiedzialność za każdego aplikanta adwokackiego działającego w imieniu adwokata</w:t>
      </w:r>
      <w:r>
        <w:rPr>
          <w:rFonts w:ascii="Arial" w:hAnsi="Arial" w:cs="Arial"/>
          <w:lang w:val="pl-PL"/>
        </w:rPr>
        <w:t xml:space="preserve"> </w:t>
      </w:r>
      <w:r w:rsidR="008F0E4C" w:rsidRPr="00D01FE9">
        <w:rPr>
          <w:rFonts w:ascii="Arial" w:hAnsi="Arial" w:cs="Arial"/>
          <w:lang w:val="pl-PL"/>
        </w:rPr>
        <w:t>za praktykantów i pracowników oraz inne osoby działające w imieniu adwokat</w:t>
      </w:r>
      <w:r w:rsidR="00823C51" w:rsidRPr="00D01FE9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8F0E4C" w:rsidRPr="00823C51">
        <w:rPr>
          <w:rFonts w:ascii="Arial" w:hAnsi="Arial" w:cs="Arial"/>
          <w:lang w:val="pl-PL"/>
        </w:rPr>
        <w:t>bezpieczenie NNW - na dodatkową sumę 25.000 zł ( dla uszczerbków powyżej 20</w:t>
      </w:r>
      <w:r w:rsidR="00823C51" w:rsidRPr="00823C51">
        <w:rPr>
          <w:rFonts w:ascii="Arial" w:hAnsi="Arial" w:cs="Arial"/>
          <w:lang w:val="pl-PL"/>
        </w:rPr>
        <w:t>%)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</w:t>
      </w:r>
      <w:r w:rsidR="008F0E4C" w:rsidRPr="00823C51">
        <w:rPr>
          <w:rFonts w:ascii="Arial" w:hAnsi="Arial" w:cs="Arial"/>
          <w:lang w:val="pl-PL"/>
        </w:rPr>
        <w:t>ażące niedbalstwo adwokata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</w:t>
      </w:r>
      <w:r w:rsidR="008F0E4C" w:rsidRPr="00823C51">
        <w:rPr>
          <w:rFonts w:ascii="Arial" w:hAnsi="Arial" w:cs="Arial"/>
          <w:lang w:val="pl-PL"/>
        </w:rPr>
        <w:t>auzula OC za działalność biurową – na dodatkową sumę 200.000 zł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8F0E4C" w:rsidRPr="00823C51">
        <w:rPr>
          <w:rFonts w:ascii="Arial" w:hAnsi="Arial" w:cs="Arial"/>
          <w:lang w:val="pl-PL"/>
        </w:rPr>
        <w:t>lauzula OC pracodawcy - na dodatkową sumę 100.000 zł</w:t>
      </w:r>
      <w:r>
        <w:rPr>
          <w:rFonts w:ascii="Arial" w:hAnsi="Arial" w:cs="Arial"/>
          <w:lang w:val="pl-PL"/>
        </w:rPr>
        <w:t>.</w:t>
      </w:r>
    </w:p>
    <w:p w:rsidR="00823C51" w:rsidRPr="00823C51" w:rsidRDefault="008F0E4C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 w:rsidRPr="00823C51">
        <w:rPr>
          <w:rFonts w:ascii="Arial" w:hAnsi="Arial" w:cs="Arial"/>
          <w:lang w:val="pl-PL"/>
        </w:rPr>
        <w:t xml:space="preserve">OC w życiu prywatnym - na dodatkową sumę 100.000 </w:t>
      </w:r>
      <w:r w:rsidR="00823C51" w:rsidRPr="00823C51">
        <w:rPr>
          <w:rFonts w:ascii="Arial" w:hAnsi="Arial" w:cs="Arial"/>
          <w:lang w:val="pl-PL"/>
        </w:rPr>
        <w:t>zł</w:t>
      </w:r>
      <w:r w:rsidR="00D01FE9">
        <w:rPr>
          <w:rFonts w:ascii="Arial" w:hAnsi="Arial" w:cs="Arial"/>
          <w:lang w:val="pl-PL"/>
        </w:rPr>
        <w:t>.</w:t>
      </w:r>
    </w:p>
    <w:p w:rsidR="008F0E4C" w:rsidRPr="00823C51" w:rsidRDefault="00D01FE9" w:rsidP="00823C5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8F0E4C" w:rsidRPr="00823C51">
        <w:rPr>
          <w:rFonts w:ascii="Arial" w:hAnsi="Arial" w:cs="Arial"/>
          <w:lang w:val="pl-PL"/>
        </w:rPr>
        <w:t>lauzula znisz</w:t>
      </w:r>
      <w:r>
        <w:rPr>
          <w:rFonts w:ascii="Arial" w:hAnsi="Arial" w:cs="Arial"/>
          <w:lang w:val="pl-PL"/>
        </w:rPr>
        <w:t xml:space="preserve">czenia, zaginięcia dokumentów - </w:t>
      </w:r>
      <w:r w:rsidR="008F0E4C" w:rsidRPr="00823C51">
        <w:rPr>
          <w:rFonts w:ascii="Arial" w:hAnsi="Arial" w:cs="Arial"/>
          <w:lang w:val="pl-PL"/>
        </w:rPr>
        <w:t>na dodatkową sumę 100.000 zł</w:t>
      </w:r>
      <w:r>
        <w:rPr>
          <w:rFonts w:ascii="Arial" w:hAnsi="Arial" w:cs="Arial"/>
          <w:lang w:val="pl-PL"/>
        </w:rPr>
        <w:t>.</w:t>
      </w:r>
    </w:p>
    <w:p w:rsidR="002A729D" w:rsidRPr="002A729D" w:rsidRDefault="002A729D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A729D">
        <w:rPr>
          <w:rFonts w:ascii="Arial" w:hAnsi="Arial" w:cs="Arial"/>
          <w:lang w:val="pl-PL"/>
        </w:rPr>
        <w:t>W przypadku zmiany wariantu ubezpieczenia, nowy wari</w:t>
      </w:r>
      <w:r>
        <w:rPr>
          <w:rFonts w:ascii="Arial" w:hAnsi="Arial" w:cs="Arial"/>
          <w:lang w:val="pl-PL"/>
        </w:rPr>
        <w:t xml:space="preserve">ant będzie obowiązywał od dnia </w:t>
      </w:r>
      <w:r w:rsidRPr="002A729D">
        <w:rPr>
          <w:rFonts w:ascii="Arial" w:hAnsi="Arial" w:cs="Arial"/>
          <w:lang w:val="pl-PL"/>
        </w:rPr>
        <w:t>następnego po złożeniu deklaracji (decyduje data wpływu deklaracji do ORA)</w:t>
      </w:r>
      <w:r>
        <w:rPr>
          <w:rFonts w:ascii="Arial" w:hAnsi="Arial" w:cs="Arial"/>
          <w:lang w:val="pl-PL"/>
        </w:rPr>
        <w:t>.</w:t>
      </w:r>
    </w:p>
    <w:p w:rsidR="002A729D" w:rsidRDefault="002A729D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2A729D" w:rsidRPr="0089192A" w:rsidRDefault="002A729D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A729D">
        <w:rPr>
          <w:rFonts w:ascii="Arial" w:hAnsi="Arial" w:cs="Arial"/>
          <w:lang w:val="pl-PL"/>
        </w:rPr>
        <w:t>Druk deklaracji wyboru wariantu ubezpieczenia jest dostępny na</w:t>
      </w:r>
      <w:r>
        <w:rPr>
          <w:rFonts w:ascii="Arial" w:hAnsi="Arial" w:cs="Arial"/>
          <w:lang w:val="pl-PL"/>
        </w:rPr>
        <w:t xml:space="preserve"> </w:t>
      </w:r>
      <w:r w:rsidRPr="0089192A">
        <w:rPr>
          <w:rFonts w:ascii="Arial" w:hAnsi="Arial" w:cs="Arial"/>
          <w:lang w:val="pl-PL"/>
        </w:rPr>
        <w:t xml:space="preserve">stronie </w:t>
      </w:r>
      <w:r w:rsidR="002506D8" w:rsidRPr="0089192A">
        <w:rPr>
          <w:rFonts w:ascii="Arial" w:hAnsi="Arial" w:cs="Arial"/>
          <w:highlight w:val="yellow"/>
          <w:lang w:val="pl-PL"/>
        </w:rPr>
        <w:t>STRONA IZBY LUB ADWOKAT.MARSH-ZAWODOWE.PL</w:t>
      </w:r>
      <w:r w:rsidRPr="0089192A">
        <w:rPr>
          <w:rFonts w:ascii="Arial" w:hAnsi="Arial" w:cs="Arial"/>
          <w:highlight w:val="yellow"/>
          <w:lang w:val="pl-PL"/>
        </w:rPr>
        <w:t xml:space="preserve">, a także w biurze podawczym </w:t>
      </w:r>
      <w:r w:rsidR="002506D8" w:rsidRPr="0089192A">
        <w:rPr>
          <w:rFonts w:ascii="Arial" w:hAnsi="Arial" w:cs="Arial"/>
          <w:highlight w:val="yellow"/>
          <w:lang w:val="pl-PL"/>
        </w:rPr>
        <w:t>WŁASCIWEJ IZBY</w:t>
      </w:r>
      <w:r w:rsidRPr="0089192A">
        <w:rPr>
          <w:rFonts w:ascii="Arial" w:hAnsi="Arial" w:cs="Arial"/>
          <w:highlight w:val="yellow"/>
          <w:lang w:val="pl-PL"/>
        </w:rPr>
        <w:t>.</w:t>
      </w:r>
    </w:p>
    <w:p w:rsidR="002A729D" w:rsidRPr="002A729D" w:rsidRDefault="002A729D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6121" w:rsidRDefault="002A729D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A729D">
        <w:rPr>
          <w:rFonts w:ascii="Arial" w:hAnsi="Arial" w:cs="Arial"/>
          <w:lang w:val="pl-PL"/>
        </w:rPr>
        <w:t xml:space="preserve">Deklarację można złożyć: </w:t>
      </w:r>
      <w:r w:rsidR="002506D8">
        <w:rPr>
          <w:rFonts w:ascii="Arial" w:hAnsi="Arial" w:cs="Arial"/>
          <w:highlight w:val="yellow"/>
          <w:lang w:val="pl-PL"/>
        </w:rPr>
        <w:t>w</w:t>
      </w:r>
      <w:r w:rsidRPr="002506D8">
        <w:rPr>
          <w:rFonts w:ascii="Arial" w:hAnsi="Arial" w:cs="Arial"/>
          <w:highlight w:val="yellow"/>
          <w:lang w:val="pl-PL"/>
        </w:rPr>
        <w:t xml:space="preserve"> biurze podawczym </w:t>
      </w:r>
      <w:r w:rsidR="002506D8" w:rsidRPr="002506D8">
        <w:rPr>
          <w:rFonts w:ascii="Arial" w:hAnsi="Arial" w:cs="Arial"/>
          <w:highlight w:val="yellow"/>
          <w:lang w:val="pl-PL"/>
        </w:rPr>
        <w:t>LUB POPRZEZ ADRES EMAIL DO WŁAŚCIWEJ IZBY LUB POPRZEZ PLATFORME INTERNETOWĄ ADWOKAT.MARSH-ZAWODOWE.PL</w:t>
      </w:r>
      <w:r w:rsidR="008F6121">
        <w:rPr>
          <w:rFonts w:ascii="Arial" w:hAnsi="Arial" w:cs="Arial"/>
          <w:lang w:val="pl-PL"/>
        </w:rPr>
        <w:t xml:space="preserve"> </w:t>
      </w:r>
      <w:r w:rsidRPr="002A729D">
        <w:rPr>
          <w:rFonts w:ascii="Arial" w:hAnsi="Arial" w:cs="Arial"/>
          <w:lang w:val="pl-PL"/>
        </w:rPr>
        <w:t xml:space="preserve"> </w:t>
      </w:r>
    </w:p>
    <w:p w:rsidR="008F6121" w:rsidRDefault="008F6121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2A729D" w:rsidRDefault="002A729D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A729D">
        <w:rPr>
          <w:rFonts w:ascii="Arial" w:hAnsi="Arial" w:cs="Arial"/>
          <w:lang w:val="pl-PL"/>
        </w:rPr>
        <w:t>Wybra</w:t>
      </w:r>
      <w:r>
        <w:rPr>
          <w:rFonts w:ascii="Arial" w:hAnsi="Arial" w:cs="Arial"/>
          <w:lang w:val="pl-PL"/>
        </w:rPr>
        <w:t xml:space="preserve">ny wariant ubezpieczenia będzie </w:t>
      </w:r>
      <w:r w:rsidRPr="002A729D">
        <w:rPr>
          <w:rFonts w:ascii="Arial" w:hAnsi="Arial" w:cs="Arial"/>
          <w:lang w:val="pl-PL"/>
        </w:rPr>
        <w:t>obowiązywał od dnia następnego po dniu wp</w:t>
      </w:r>
      <w:r>
        <w:rPr>
          <w:rFonts w:ascii="Arial" w:hAnsi="Arial" w:cs="Arial"/>
          <w:lang w:val="pl-PL"/>
        </w:rPr>
        <w:t xml:space="preserve">ływu deklaracji do ORA (od dnia </w:t>
      </w:r>
      <w:r w:rsidRPr="002A729D">
        <w:rPr>
          <w:rFonts w:ascii="Arial" w:hAnsi="Arial" w:cs="Arial"/>
          <w:lang w:val="pl-PL"/>
        </w:rPr>
        <w:t>poprzedzającego rozpoczęcie wykonywania zawodu d</w:t>
      </w:r>
      <w:r>
        <w:rPr>
          <w:rFonts w:ascii="Arial" w:hAnsi="Arial" w:cs="Arial"/>
          <w:lang w:val="pl-PL"/>
        </w:rPr>
        <w:t xml:space="preserve">o dnia wpływu deklaracji do ORA </w:t>
      </w:r>
      <w:r w:rsidRPr="002A729D">
        <w:rPr>
          <w:rFonts w:ascii="Arial" w:hAnsi="Arial" w:cs="Arial"/>
          <w:lang w:val="pl-PL"/>
        </w:rPr>
        <w:t>adwokat będzie ubezpiec</w:t>
      </w:r>
      <w:r>
        <w:rPr>
          <w:rFonts w:ascii="Arial" w:hAnsi="Arial" w:cs="Arial"/>
          <w:lang w:val="pl-PL"/>
        </w:rPr>
        <w:t xml:space="preserve">zony według </w:t>
      </w:r>
      <w:r w:rsidRPr="002A729D">
        <w:rPr>
          <w:rFonts w:ascii="Arial" w:hAnsi="Arial" w:cs="Arial"/>
          <w:lang w:val="pl-PL"/>
        </w:rPr>
        <w:t xml:space="preserve">wariantu nr </w:t>
      </w:r>
      <w:r w:rsidR="00E64815">
        <w:rPr>
          <w:rFonts w:ascii="Arial" w:hAnsi="Arial" w:cs="Arial"/>
          <w:highlight w:val="yellow"/>
          <w:lang w:val="pl-PL"/>
        </w:rPr>
        <w:t>2 tj. 100.000 EUR + </w:t>
      </w:r>
      <w:r w:rsidRPr="0067449F">
        <w:rPr>
          <w:rFonts w:ascii="Arial" w:hAnsi="Arial" w:cs="Arial"/>
          <w:highlight w:val="yellow"/>
          <w:lang w:val="pl-PL"/>
        </w:rPr>
        <w:t xml:space="preserve">250.000,00 EUR </w:t>
      </w:r>
      <w:r w:rsidR="002506D8">
        <w:rPr>
          <w:rFonts w:ascii="Arial" w:hAnsi="Arial" w:cs="Arial"/>
          <w:highlight w:val="yellow"/>
          <w:lang w:val="pl-PL"/>
        </w:rPr>
        <w:t>ubezpieczenia dodatkowego</w:t>
      </w:r>
      <w:r w:rsidRPr="0067449F">
        <w:rPr>
          <w:rFonts w:ascii="Arial" w:hAnsi="Arial" w:cs="Arial"/>
          <w:highlight w:val="yellow"/>
          <w:lang w:val="pl-PL"/>
        </w:rPr>
        <w:t>).</w:t>
      </w:r>
    </w:p>
    <w:p w:rsidR="0025091C" w:rsidRPr="002A729D" w:rsidRDefault="0025091C" w:rsidP="002A729D">
      <w:pPr>
        <w:spacing w:after="0" w:line="240" w:lineRule="auto"/>
        <w:jc w:val="both"/>
        <w:rPr>
          <w:rFonts w:ascii="Arial" w:hAnsi="Arial" w:cs="Arial"/>
          <w:lang w:val="pl-PL"/>
        </w:rPr>
      </w:pPr>
    </w:p>
    <w:sectPr w:rsidR="0025091C" w:rsidRPr="002A729D" w:rsidSect="008F0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6B" w:rsidRDefault="00BF4F6B" w:rsidP="00CE596F">
      <w:pPr>
        <w:spacing w:after="0" w:line="240" w:lineRule="auto"/>
      </w:pPr>
      <w:r>
        <w:separator/>
      </w:r>
    </w:p>
  </w:endnote>
  <w:endnote w:type="continuationSeparator" w:id="0">
    <w:p w:rsidR="00BF4F6B" w:rsidRDefault="00BF4F6B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6B" w:rsidRDefault="00BF4F6B" w:rsidP="00CE596F">
      <w:pPr>
        <w:spacing w:after="0" w:line="240" w:lineRule="auto"/>
      </w:pPr>
      <w:r>
        <w:separator/>
      </w:r>
    </w:p>
  </w:footnote>
  <w:footnote w:type="continuationSeparator" w:id="0">
    <w:p w:rsidR="00BF4F6B" w:rsidRDefault="00BF4F6B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 w:rsidP="00CE596F">
    <w:pPr>
      <w:pStyle w:val="Nagwek"/>
      <w:tabs>
        <w:tab w:val="clear" w:pos="9360"/>
        <w:tab w:val="right" w:pos="9639"/>
      </w:tabs>
    </w:pPr>
    <w:r>
      <w:rPr>
        <w:noProof/>
        <w:lang w:val="pl-PL" w:eastAsia="pl-PL"/>
      </w:rPr>
      <w:drawing>
        <wp:inline distT="0" distB="0" distL="0" distR="0" wp14:anchorId="0C98EC4C" wp14:editId="61ADE6A4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val="pl-PL" w:eastAsia="pl-PL"/>
      </w:rPr>
      <w:drawing>
        <wp:inline distT="0" distB="0" distL="0" distR="0" wp14:anchorId="677602E8" wp14:editId="355A7C9C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6B6B4FF3" wp14:editId="0EE710F8">
          <wp:extent cx="1651000" cy="434223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96" cy="4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96F" w:rsidRDefault="00CE596F" w:rsidP="00CE596F">
    <w:pPr>
      <w:pStyle w:val="Nagwek"/>
    </w:pPr>
  </w:p>
  <w:p w:rsidR="00CE596F" w:rsidRDefault="00CE59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F"/>
    <w:rsid w:val="000141BA"/>
    <w:rsid w:val="00080A7F"/>
    <w:rsid w:val="00174B1B"/>
    <w:rsid w:val="001B09D3"/>
    <w:rsid w:val="00206BD1"/>
    <w:rsid w:val="002506D8"/>
    <w:rsid w:val="0025091C"/>
    <w:rsid w:val="00263F64"/>
    <w:rsid w:val="002A729D"/>
    <w:rsid w:val="00453E5E"/>
    <w:rsid w:val="00655C85"/>
    <w:rsid w:val="0067449F"/>
    <w:rsid w:val="008032D2"/>
    <w:rsid w:val="00823C51"/>
    <w:rsid w:val="0089192A"/>
    <w:rsid w:val="008F0E4C"/>
    <w:rsid w:val="008F6121"/>
    <w:rsid w:val="00AF536E"/>
    <w:rsid w:val="00B33A1F"/>
    <w:rsid w:val="00BA77A5"/>
    <w:rsid w:val="00BF4F6B"/>
    <w:rsid w:val="00C66D88"/>
    <w:rsid w:val="00CE596F"/>
    <w:rsid w:val="00D01FE9"/>
    <w:rsid w:val="00D32A12"/>
    <w:rsid w:val="00E64815"/>
    <w:rsid w:val="00E853B2"/>
    <w:rsid w:val="00E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.marsh-zawodow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Koczergo, Aleksandra</dc:creator>
  <cp:lastModifiedBy>ML</cp:lastModifiedBy>
  <cp:revision>8</cp:revision>
  <dcterms:created xsi:type="dcterms:W3CDTF">2017-12-14T07:27:00Z</dcterms:created>
  <dcterms:modified xsi:type="dcterms:W3CDTF">2017-12-19T11:06:00Z</dcterms:modified>
</cp:coreProperties>
</file>