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Obowiązek doskonalenia zawodowego adwokatów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Informacje ogólne.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Najwyższe kwalifikacje zawodowe adwokata, obok kwalifikacji etycznych, stanowią warunek, a jednocześnie gwarancję realizacji jego społecznej roli w Rzeczypospolitej Polskiej i w zjednoczonej Europie. Podnoszenie kwalifikacji zawodowych jest niezbywalnym prawem i obowiązkiem każdego adwokata. Realizacja tego prawa i obowiązku następuje poprzez samokształcenie oraz udział adwokatów w różnych formach szkolenia, w tym zwłaszcza organizowanych przez samorząd adwokacki.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Zasady podnoszenia kwalifikacji przez adwokatów określa uchwała nr 57/2011 Naczelnej Rady Adwokackiej z 19 listopada 2011 roku „O doskonaleniu zawodowym adwokatów” (tekst jednolity - obwieszczenie Prezydium Naczelnej Rady Adwokackiej z dnia 15 grudnia 2015 r. - dalej Uchwała). Pełny tekst uchwały dostępny jest </w:t>
      </w:r>
      <w:r w:rsidDel="00000000" w:rsidR="00000000" w:rsidRPr="00000000">
        <w:rPr>
          <w:color w:val="0070c0"/>
          <w:u w:val="single"/>
          <w:rtl w:val="0"/>
        </w:rPr>
        <w:t xml:space="preserve">tutaj</w:t>
      </w:r>
      <w:r w:rsidDel="00000000" w:rsidR="00000000" w:rsidRPr="00000000">
        <w:rPr>
          <w:color w:val="0070c0"/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Obowiązkiem adwokata jest stałe podnoszenie kwalifikacji zawodowych, poprzez samokształcenie oraz udział w szkoleniu zawodowym organizowanym przez samorząd adwokacki lub w innych formach przewidzianych w Uchwale.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Obowiązkiem doskonalenia zawodowego objęci są wszyscy adwokaci wykonujący zawód oraz wykonujący stałą praktykę prawnicy z Unii Europejskiej wpisani na listę prowadzoną przez okręgową radę adwokacką, z wyjątkiem osób, którym nadano stopień naukowy doktora habilitowanego.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Aplikanci adwokaccy mają prawo uczestniczyć w szkoleniu zawodowym adwokatów na zasadach określonych Uchwałą.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Formy realizacji obowiązku doskonalenia zawodowego.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Adwokat może spełniać obowiązek doskonalenia zawodowego w następujących formach:</w:t>
      </w:r>
    </w:p>
    <w:p w:rsidR="00000000" w:rsidDel="00000000" w:rsidP="00000000" w:rsidRDefault="00000000" w:rsidRPr="00000000">
      <w:pPr>
        <w:ind w:left="700" w:hanging="280"/>
        <w:contextualSpacing w:val="0"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poprzez uczestnictwo w szkoleniach zawodowych organizowanych przez samorząd zawodowy adwokatury;</w:t>
      </w:r>
    </w:p>
    <w:p w:rsidR="00000000" w:rsidDel="00000000" w:rsidP="00000000" w:rsidRDefault="00000000" w:rsidRPr="00000000">
      <w:pPr>
        <w:ind w:left="700" w:hanging="280"/>
        <w:contextualSpacing w:val="0"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poprzez udział w szkoleniach, seminariach, konferencjach lub wykładach organizowanych przez inne instytucje, niż samorząd zawodowy adwokatury;</w:t>
      </w:r>
    </w:p>
    <w:p w:rsidR="00000000" w:rsidDel="00000000" w:rsidP="00000000" w:rsidRDefault="00000000" w:rsidRPr="00000000">
      <w:pPr>
        <w:ind w:left="700" w:hanging="280"/>
        <w:contextualSpacing w:val="0"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poprzez samokształcenie, które wyraża się bądź w przygotowaniu i publikacji opracowania o charakterze naukowym oraz publicystyczno-prawnym, bądź w przygotowaniu i przeprowadzeniu wystąpienia w ramach form szkolenia, o których mowa w punktach 1 lub 2.</w:t>
      </w:r>
    </w:p>
    <w:p w:rsidR="00000000" w:rsidDel="00000000" w:rsidP="00000000" w:rsidRDefault="00000000" w:rsidRPr="00000000">
      <w:pPr>
        <w:ind w:left="700" w:hanging="280"/>
        <w:contextualSpacing w:val="0"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</w:r>
      <w:r w:rsidDel="00000000" w:rsidR="00000000" w:rsidRPr="00000000">
        <w:rPr>
          <w:rtl w:val="0"/>
        </w:rPr>
        <w:t xml:space="preserve">poprzez prowadzenie zajęć szkoleniowych dla aplikantów adwokackich w ramach szkolenia organizowanego przez samorząd zawodowy adwokatury oraz zajęć w zakresie edukacji prawnej w szkołach ponadgimnazjalnych w ramach akcji społecznych prowadzonych przez samorząd zawodowy adwokatury.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Przygotowanie i przeprowadzenie wystąpienia również stanowi realizację obowiązku doskonalenia zawodowego, jeżeli dotyczy zagadnień prawnych lub innych związanych z wykonywaniem zawodu adwokata. Za wystąpienie w rozumieniu Uchwały rozumie się w szczególności wykład, udział w dyskusji panelowej, przeprowadzenie ćwiczeń lub zajęć praktycznych.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Zasady organizacji szkoleń i innych form realizacji obowiązku doskonalenia zawodowego.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Okręgowa rada adwokacka organizuje szkolenia zawodowe w wymiarze nie mniejszym niż 20 godzin rocznie. Obowiązek ten okręgowa rada adwokacka może zrealizować, organizując szkolenia we własnym zakresie lub zlecić ich przeprowadzenie uniwersytetom lub innym wyspecjalizowanym instytucjom.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Okręgowa rada adwokacka składa Naczelnej Radzie Adwokackiej roczne sprawozdanie z przeprowadzonego szkolenia zawodowego w terminie do 31 stycznia następnego roku. Sprawozdanie powinno obejmować informację na temat zorganizowanych zajęć szkoleniowych, w szczególności osób prowadzących zajęcia, tematów zajęć oraz liczby adwokatów w nich uczestniczących.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Naczelna Rada Adwokacka może samodzielnie lub z innymi podmiotami organizować szkolenia, a także może podejmować inne działania służące realizacji obowiązku doskonalenia zawodowego.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Bieżącą realizacją zadań w zakresie organizacji szkoleń zajmuje się Komisja Doskonalenia Zawodowego Pomorskiej Izby Adwokackiej. Szersze informacje na temat Komisji dostępne są </w:t>
      </w:r>
      <w:r w:rsidDel="00000000" w:rsidR="00000000" w:rsidRPr="00000000">
        <w:rPr>
          <w:color w:val="0000ff"/>
          <w:u w:val="single"/>
          <w:rtl w:val="0"/>
        </w:rPr>
        <w:t xml:space="preserve">tutaj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Zasady rozliczania adwokatów z wykonania obowiązku doskonalenia zawodowego.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W celu spełnienia obowiązku doskonalenia zawodowego adwokat powinien uzyskać w danym roku kalendarzowym co najmniej 12 punktów szkoleniowych, rozliczanych na zasadach określonych poniżej.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Udział w poszczególnych formach doskonalenia zawodowego odpowiada następującej liczbie punktów szkoleniowych: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Visual w:val="0"/>
        <w:tblW w:w="882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40"/>
        <w:gridCol w:w="1980"/>
        <w:tblGridChange w:id="0">
          <w:tblGrid>
            <w:gridCol w:w="6840"/>
            <w:gridCol w:w="198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Forma doskonalenia zawodowego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Liczba punktów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Uczestnictwo w szkoleniach, seminariach, konferencjach lub wykładach, nie mniej niż jedna godzina, za każdą pełną godzinę.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1 punkt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Przygotowanie i opublikowanie opracowania o objętości do 20 stron.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6 punktów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Przygotowanie i opublikowanie opracowania o objętości powyżej 20 stron.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12 punktów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Przygotowanie i przeprowadzenie wystąpienia, nie krótszego niż 1 godzina, skierowanego do osób mających wykształcenie prawnicze lub studentów prawa, za każdą pełną godzinę.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2 punkty</w:t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rtl w:val="0"/>
              </w:rPr>
              <w:t xml:space="preserve">Przygotowanie i przeprowadzenie wystąpienia, nie krótszego niż 1 godzina, skierowanego do osób nie mających wykształcenia prawniczego, za każdą pełną godzinę.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ind w:left="60" w:firstLine="0"/>
              <w:contextualSpacing w:val="0"/>
              <w:jc w:val="both"/>
            </w:pPr>
            <w:r w:rsidDel="00000000" w:rsidR="00000000" w:rsidRPr="00000000">
              <w:rPr>
                <w:b w:val="1"/>
                <w:rtl w:val="0"/>
              </w:rPr>
              <w:t xml:space="preserve">1 punkt</w:t>
            </w:r>
          </w:p>
        </w:tc>
      </w:tr>
    </w:tbl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i w:val="1"/>
          <w:rtl w:val="0"/>
        </w:rPr>
        <w:t xml:space="preserve">WAŻNE: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b w:val="1"/>
          <w:i w:val="1"/>
          <w:rtl w:val="0"/>
        </w:rPr>
        <w:t xml:space="preserve">Adwokaci objęci obowiązkiem doskonalenia zawodowego mają obowiązek, w terminie do końca lutego każdego roku, złożyć sprawozdanie o wykonaniu obowiązku doskonalenia w poprzednim roku kalendarzowym. W zakresie, w jakim obowiązek doskonalenia został zrealizowany w inny sposób, niż poprzez uczestnictwo w szkoleniu zorganizowanym przez okręgową radę adwokacką lub przeprowadzenie wystąpienia w ramach takiego szkolenia, do sprawozdania należy załączyć dokumenty potwierdzające wykonanie obowiązku doskonalenia zawodowego, zawierające dane pozwalające na ustalenie, że dana forma doskonalenia zawodowego spełnia wymogi określone w Uchwale.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Okręgowa rada adwokacka zobowiązana jest czuwać nad realizacją obowiązku doskonalenia zawodowego przez członków izby, a w przypadku stwierdzenia umyślnego naruszenia tego obowiązku podejmować przewidziane prawem działania dyscyplinujące, w tym także wszczynać postępowanie dyscyplinarne.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Okręgowa rada adwokacka w terminie do 30 czerwca każdego roku przesyła do Prezydium Naczelnej Rady Adwokackiej informację o podjętych działaniach dyscyplinujących, a dotyczących stwierdzonych uchybień w realizacji obowiązku doskonalenia zawodowego przez członków izby w poprzednim roku kalendarzowym.</w:t>
      </w:r>
    </w:p>
    <w:p w:rsidR="00000000" w:rsidDel="00000000" w:rsidP="00000000" w:rsidRDefault="00000000" w:rsidRPr="00000000">
      <w:pPr>
        <w:contextualSpacing w:val="0"/>
        <w:jc w:val="both"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