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15" w:rsidRPr="00440C15" w:rsidRDefault="00440C15" w:rsidP="00440C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I KONFERENCJA NAUKOWA PIA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PRAWO MEDYCZNE I FARMACEUTYCZNE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440C15" w:rsidRPr="00440C15" w:rsidRDefault="00440C15" w:rsidP="00440C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12 listopada 2015 r.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Wyższa Szkoła Administracji i Biznesu im. E. Kwiatkowskiego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Ul. Kieleck</w:t>
      </w:r>
      <w:bookmarkStart w:id="0" w:name="_GoBack"/>
      <w:bookmarkEnd w:id="0"/>
      <w:r w:rsidRPr="00440C15">
        <w:rPr>
          <w:rFonts w:asciiTheme="minorHAnsi" w:hAnsiTheme="minorHAnsi" w:cstheme="minorHAnsi"/>
          <w:b/>
          <w:bCs/>
          <w:color w:val="000000"/>
        </w:rPr>
        <w:t>a 7 Gdynia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g .8.30-9.00 rejestracja uczestników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g. 9.00-9.10 - wstęp – adw. Dariusz Strzelecki – Dziekan Pomorskiej Izby Adwokackiej w Gdańsku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g.9.00 – 9.15 – przywitanie gości przez prof. zw. dr hab. Jerzego Młynarczyka, Rektora Wyższej Szkoły Administracji i Biznesu im. E. Kwiatkowskiego w Gdyni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 xml:space="preserve">g. 9.15-10.00 - wykład inauguracyjny – </w:t>
      </w:r>
      <w:r w:rsidRPr="00440C15">
        <w:rPr>
          <w:rFonts w:asciiTheme="minorHAnsi" w:hAnsiTheme="minorHAnsi" w:cstheme="minorHAnsi"/>
          <w:b/>
          <w:color w:val="000000"/>
        </w:rPr>
        <w:t>"</w:t>
      </w:r>
      <w:r w:rsidRPr="00440C15">
        <w:rPr>
          <w:rFonts w:asciiTheme="minorHAnsi" w:hAnsiTheme="minorHAnsi" w:cstheme="minorHAnsi"/>
          <w:b/>
          <w:bCs/>
          <w:color w:val="000000"/>
        </w:rPr>
        <w:t>Patologia wdzięczności, czyli o korupcji w służbie zdrowia</w:t>
      </w:r>
      <w:r w:rsidRPr="00440C15">
        <w:rPr>
          <w:rFonts w:asciiTheme="minorHAnsi" w:hAnsiTheme="minorHAnsi" w:cstheme="minorHAnsi"/>
          <w:b/>
          <w:color w:val="000000"/>
        </w:rPr>
        <w:t xml:space="preserve">" </w:t>
      </w:r>
      <w:r w:rsidRPr="00440C15">
        <w:rPr>
          <w:rFonts w:asciiTheme="minorHAnsi" w:hAnsiTheme="minorHAnsi" w:cstheme="minorHAnsi"/>
          <w:color w:val="000000"/>
        </w:rPr>
        <w:t xml:space="preserve">- SSO I. </w:t>
      </w:r>
      <w:proofErr w:type="spellStart"/>
      <w:r w:rsidRPr="00440C15">
        <w:rPr>
          <w:rFonts w:asciiTheme="minorHAnsi" w:hAnsiTheme="minorHAnsi" w:cstheme="minorHAnsi"/>
          <w:color w:val="000000"/>
        </w:rPr>
        <w:t>Tuleya</w:t>
      </w:r>
      <w:proofErr w:type="spellEnd"/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g.10.00-12.00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PANEL 1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360" w:hanging="36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color w:val="000000"/>
        </w:rPr>
        <w:t>-</w:t>
      </w:r>
      <w:r w:rsidRPr="00440C15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       </w:t>
      </w:r>
      <w:r w:rsidRPr="00440C15">
        <w:rPr>
          <w:rFonts w:asciiTheme="minorHAnsi" w:hAnsiTheme="minorHAnsi" w:cstheme="minorHAnsi"/>
          <w:b/>
          <w:bCs/>
          <w:color w:val="000000"/>
        </w:rPr>
        <w:t>Odpowiedzialność osób wykonujących zawody medyczne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odpowiedzialność cywilna osób wykonujących zawody medyczne – Prof. zw. dr hab. E. Bagińska, Uniwersytet Gdański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odpowiedzialność karna osób wykonujących zawody medyczne – dr adw. J. Kaczmarek, Wyższa Szkoła Administracji i Biznesu im. E. Kwiatkowskiego, Pomorska Izba Adwokacka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Nienależyta staranność w procesie diagnostyczno-leczniczym i konsekwencje jej niezachowania – studium przypadków, które znalazły epilog na sali sądowej” dr adw. Paweł Brzezicki, Pomorska Izba Adwokacka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Odpowiedzialność cywilna i karna lekarza Pogotowia Ratunkowego. – adw. R. Nowosielski, Pomorska Izba Adwokacka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 xml:space="preserve">Odpowiedzialność lekarza z tytułu wygranego kontaktu i podpisanej umowy o świadczenie usług medycznych,-adw. </w:t>
      </w:r>
      <w:proofErr w:type="spellStart"/>
      <w:r w:rsidRPr="00440C15">
        <w:rPr>
          <w:rFonts w:asciiTheme="minorHAnsi" w:hAnsiTheme="minorHAnsi" w:cstheme="minorHAnsi"/>
          <w:color w:val="000000"/>
        </w:rPr>
        <w:t>R.Nowosielski</w:t>
      </w:r>
      <w:proofErr w:type="spellEnd"/>
      <w:r w:rsidRPr="00440C15">
        <w:rPr>
          <w:rFonts w:asciiTheme="minorHAnsi" w:hAnsiTheme="minorHAnsi" w:cstheme="minorHAnsi"/>
          <w:color w:val="000000"/>
        </w:rPr>
        <w:t>, Okręgowa Izba Radców Prawnych w Gdańsku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zarządzanie ryzykiem prawnym w podmiotach leczniczych- Agnieszka Sieńko, Wydawnictwo Wolters Kluwer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</w:rPr>
        <w:t>o</w:t>
      </w:r>
      <w:r w:rsidRPr="00440C15">
        <w:rPr>
          <w:rFonts w:asciiTheme="minorHAnsi" w:hAnsiTheme="minorHAnsi" w:cstheme="minorHAnsi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</w:rPr>
        <w:t>dyskusja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bCs/>
          <w:color w:val="000000"/>
        </w:rPr>
        <w:t>g. 12.00-12.30- przerwa kawowa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g. 12.30- 13.30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PANEL 2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360" w:hanging="36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color w:val="000000"/>
        </w:rPr>
        <w:t>-</w:t>
      </w:r>
      <w:r w:rsidRPr="00440C15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       </w:t>
      </w:r>
      <w:r w:rsidRPr="00440C15">
        <w:rPr>
          <w:rFonts w:asciiTheme="minorHAnsi" w:hAnsiTheme="minorHAnsi" w:cstheme="minorHAnsi"/>
          <w:b/>
          <w:bCs/>
          <w:color w:val="000000"/>
        </w:rPr>
        <w:t>Moralność, prawo i medycyna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In vitro okiem lekarza – prawdy, mity, wyzwania - prof. Krzysztof Łukaszuk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 xml:space="preserve">„Klauzula sumienia w państwie prawa”- dr hab., prof. UG. Oktawian </w:t>
      </w:r>
      <w:proofErr w:type="spellStart"/>
      <w:r w:rsidRPr="00440C15">
        <w:rPr>
          <w:rFonts w:asciiTheme="minorHAnsi" w:hAnsiTheme="minorHAnsi" w:cstheme="minorHAnsi"/>
          <w:color w:val="000000"/>
        </w:rPr>
        <w:t>Nawrot</w:t>
      </w:r>
      <w:proofErr w:type="spellEnd"/>
      <w:r w:rsidRPr="00440C15">
        <w:rPr>
          <w:rFonts w:asciiTheme="minorHAnsi" w:hAnsiTheme="minorHAnsi" w:cstheme="minorHAnsi"/>
          <w:color w:val="000000"/>
        </w:rPr>
        <w:t>, Uniwersytet Gdański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Przeszczepianie narządów: aspekty historyczne, prawne i medyczne – prof. Bolesław Rutkowski, Gdański Uniwersytet Medyczny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lastRenderedPageBreak/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„Wybrane problemy podmiotowości prawnej embrionów powstałych w wyniku zapłodnienia pozaustrojowego na gruncie prawa cywilnego” – mgr Anna Białek, Uniwersytet Jagielloński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</w:rPr>
        <w:t>o</w:t>
      </w:r>
      <w:r w:rsidRPr="00440C15">
        <w:rPr>
          <w:rFonts w:asciiTheme="minorHAnsi" w:hAnsiTheme="minorHAnsi" w:cstheme="minorHAnsi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</w:rPr>
        <w:t>dyskusja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g. 13.30-14.30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PANEL 3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-  Prawo pacjenta do informacyjnego samostanowienia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 xml:space="preserve">Aspekty prawnokarne poinformowanej zgody pacjenta – dr K. </w:t>
      </w:r>
      <w:proofErr w:type="spellStart"/>
      <w:r w:rsidRPr="00440C15">
        <w:rPr>
          <w:rFonts w:asciiTheme="minorHAnsi" w:hAnsiTheme="minorHAnsi" w:cstheme="minorHAnsi"/>
          <w:color w:val="000000"/>
        </w:rPr>
        <w:t>Syroka-Marczewska</w:t>
      </w:r>
      <w:proofErr w:type="spellEnd"/>
      <w:r w:rsidRPr="00440C15">
        <w:rPr>
          <w:rFonts w:asciiTheme="minorHAnsi" w:hAnsiTheme="minorHAnsi" w:cstheme="minorHAnsi"/>
          <w:color w:val="000000"/>
        </w:rPr>
        <w:t>,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Wybrane problemy prawne dotyczące ochrony informacji o stanie zdrowia pacjenta-  dr T. Sroka, Uniwersytet Jagielloński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</w:rPr>
        <w:t>o</w:t>
      </w:r>
      <w:r w:rsidRPr="00440C15">
        <w:rPr>
          <w:rFonts w:asciiTheme="minorHAnsi" w:hAnsiTheme="minorHAnsi" w:cstheme="minorHAnsi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</w:rPr>
        <w:t>dyskusja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bCs/>
          <w:color w:val="000000"/>
        </w:rPr>
        <w:t>g. 14.30-15.30– przerwa obiadowa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g. 15.30-16.30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PANEL 4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360" w:hanging="36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color w:val="000000"/>
        </w:rPr>
        <w:t>-</w:t>
      </w:r>
      <w:r w:rsidRPr="00440C15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       </w:t>
      </w:r>
      <w:r w:rsidRPr="00440C15">
        <w:rPr>
          <w:rFonts w:asciiTheme="minorHAnsi" w:hAnsiTheme="minorHAnsi" w:cstheme="minorHAnsi"/>
          <w:b/>
          <w:bCs/>
          <w:color w:val="000000"/>
        </w:rPr>
        <w:t>Postępowanie w sprawach dotyczących błędu medycznego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charakter prawny postępowania przed wojewódzką komisją ds. Orzekania o zdarzeniach medycznych - adw. J. Glanc, Pomorska Izba Adwokacka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 xml:space="preserve">rola dokumentacji medycznej i ciężar dowodu w postępowaniu cywilnym dotyczącym błędu medycznego – dr  adw. I. </w:t>
      </w:r>
      <w:proofErr w:type="spellStart"/>
      <w:r w:rsidRPr="00440C15">
        <w:rPr>
          <w:rFonts w:asciiTheme="minorHAnsi" w:hAnsiTheme="minorHAnsi" w:cstheme="minorHAnsi"/>
          <w:color w:val="000000"/>
        </w:rPr>
        <w:t>Adrych</w:t>
      </w:r>
      <w:proofErr w:type="spellEnd"/>
      <w:r w:rsidRPr="00440C15">
        <w:rPr>
          <w:rFonts w:asciiTheme="minorHAnsi" w:hAnsiTheme="minorHAnsi" w:cstheme="minorHAnsi"/>
          <w:color w:val="000000"/>
        </w:rPr>
        <w:t>-Brzezińska, Uniwersytet Gdański, Pomorska Izba Adwokacka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 xml:space="preserve">znaczenie dowodowe tzw. opinii prywatnej w postępowaniu karnym dotyczącym błędu medycznego – dr hab. S. </w:t>
      </w:r>
      <w:proofErr w:type="spellStart"/>
      <w:r w:rsidRPr="00440C15">
        <w:rPr>
          <w:rFonts w:asciiTheme="minorHAnsi" w:hAnsiTheme="minorHAnsi" w:cstheme="minorHAnsi"/>
          <w:color w:val="000000"/>
        </w:rPr>
        <w:t>Steinborn</w:t>
      </w:r>
      <w:proofErr w:type="spellEnd"/>
      <w:r w:rsidRPr="00440C15">
        <w:rPr>
          <w:rFonts w:asciiTheme="minorHAnsi" w:hAnsiTheme="minorHAnsi" w:cstheme="minorHAnsi"/>
          <w:color w:val="000000"/>
        </w:rPr>
        <w:t>, Uniwersytet Gdański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</w:rPr>
        <w:t>o</w:t>
      </w:r>
      <w:r w:rsidRPr="00440C15">
        <w:rPr>
          <w:rFonts w:asciiTheme="minorHAnsi" w:hAnsiTheme="minorHAnsi" w:cstheme="minorHAnsi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</w:rPr>
        <w:t>dyskusja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g.16.30-17.30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bCs/>
          <w:color w:val="000000"/>
        </w:rPr>
        <w:t>PANEL 5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360" w:hanging="360"/>
        <w:jc w:val="both"/>
        <w:rPr>
          <w:rFonts w:asciiTheme="minorHAnsi" w:hAnsiTheme="minorHAnsi" w:cstheme="minorHAnsi"/>
          <w:b/>
        </w:rPr>
      </w:pPr>
      <w:r w:rsidRPr="00440C15">
        <w:rPr>
          <w:rFonts w:asciiTheme="minorHAnsi" w:hAnsiTheme="minorHAnsi" w:cstheme="minorHAnsi"/>
          <w:b/>
          <w:color w:val="000000"/>
        </w:rPr>
        <w:t>-</w:t>
      </w:r>
      <w:r w:rsidRPr="00440C15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       </w:t>
      </w:r>
      <w:r w:rsidRPr="00440C15">
        <w:rPr>
          <w:rFonts w:asciiTheme="minorHAnsi" w:hAnsiTheme="minorHAnsi" w:cstheme="minorHAnsi"/>
          <w:b/>
          <w:bCs/>
          <w:color w:val="000000"/>
        </w:rPr>
        <w:t>Prawo farmaceutyczne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Substytucja apteczna - aspekty prawne i medyczne – dr hab. A. Zimmermann, Gdański Uniwersytet Medyczny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>Relacje firm farmaceutycznych z lekarzami – aspekty prawne</w:t>
      </w:r>
      <w:r w:rsidRPr="00440C15">
        <w:rPr>
          <w:rFonts w:asciiTheme="minorHAnsi" w:hAnsiTheme="minorHAnsi" w:cstheme="minorHAnsi"/>
          <w:bCs/>
          <w:color w:val="000000"/>
        </w:rPr>
        <w:t xml:space="preserve"> </w:t>
      </w:r>
      <w:r w:rsidRPr="00440C15">
        <w:rPr>
          <w:rFonts w:asciiTheme="minorHAnsi" w:hAnsiTheme="minorHAnsi" w:cstheme="minorHAnsi"/>
          <w:color w:val="000000"/>
        </w:rPr>
        <w:t>– r.pr</w:t>
      </w:r>
      <w:r w:rsidRPr="00440C15">
        <w:rPr>
          <w:rFonts w:asciiTheme="minorHAnsi" w:hAnsiTheme="minorHAnsi" w:cstheme="minorHAnsi"/>
          <w:bCs/>
          <w:color w:val="000000"/>
        </w:rPr>
        <w:t xml:space="preserve">. </w:t>
      </w:r>
      <w:r w:rsidRPr="00440C15">
        <w:rPr>
          <w:rFonts w:asciiTheme="minorHAnsi" w:hAnsiTheme="minorHAnsi" w:cstheme="minorHAnsi"/>
          <w:color w:val="000000"/>
        </w:rPr>
        <w:t xml:space="preserve">N. </w:t>
      </w:r>
      <w:proofErr w:type="spellStart"/>
      <w:r w:rsidRPr="00440C15">
        <w:rPr>
          <w:rFonts w:asciiTheme="minorHAnsi" w:hAnsiTheme="minorHAnsi" w:cstheme="minorHAnsi"/>
          <w:color w:val="000000"/>
        </w:rPr>
        <w:t>Łojko</w:t>
      </w:r>
      <w:proofErr w:type="spellEnd"/>
      <w:r w:rsidRPr="00440C15">
        <w:rPr>
          <w:rFonts w:asciiTheme="minorHAnsi" w:hAnsiTheme="minorHAnsi" w:cstheme="minorHAnsi"/>
          <w:color w:val="000000"/>
        </w:rPr>
        <w:t>, Okręgowa Izba Radców Prawnych w Warszawie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o</w:t>
      </w:r>
      <w:r w:rsidRPr="00440C15">
        <w:rPr>
          <w:rFonts w:asciiTheme="minorHAnsi" w:hAnsiTheme="minorHAnsi" w:cstheme="minorHAnsi"/>
          <w:color w:val="000000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  <w:color w:val="000000"/>
        </w:rPr>
        <w:t xml:space="preserve">Łańcuch i odwrócony łańcuch dystrybucji leków – adw. P. </w:t>
      </w:r>
      <w:proofErr w:type="spellStart"/>
      <w:r w:rsidRPr="00440C15">
        <w:rPr>
          <w:rFonts w:asciiTheme="minorHAnsi" w:hAnsiTheme="minorHAnsi" w:cstheme="minorHAnsi"/>
          <w:color w:val="000000"/>
        </w:rPr>
        <w:t>Ratnicki-Kiczka</w:t>
      </w:r>
      <w:proofErr w:type="spellEnd"/>
      <w:r w:rsidRPr="00440C15">
        <w:rPr>
          <w:rFonts w:asciiTheme="minorHAnsi" w:hAnsiTheme="minorHAnsi" w:cstheme="minorHAnsi"/>
          <w:color w:val="000000"/>
        </w:rPr>
        <w:t>, Pomorska Izba Adwokacka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ind w:left="1440" w:hanging="36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</w:rPr>
        <w:t>o</w:t>
      </w:r>
      <w:r w:rsidRPr="00440C15">
        <w:rPr>
          <w:rFonts w:asciiTheme="minorHAnsi" w:hAnsiTheme="minorHAnsi" w:cstheme="minorHAnsi"/>
          <w:sz w:val="14"/>
          <w:szCs w:val="14"/>
        </w:rPr>
        <w:t xml:space="preserve">   </w:t>
      </w:r>
      <w:r w:rsidRPr="00440C15">
        <w:rPr>
          <w:rFonts w:asciiTheme="minorHAnsi" w:hAnsiTheme="minorHAnsi" w:cstheme="minorHAnsi"/>
        </w:rPr>
        <w:t>dyskusja</w:t>
      </w: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440C15" w:rsidRPr="00440C15" w:rsidRDefault="00440C15" w:rsidP="00440C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0C15">
        <w:rPr>
          <w:rFonts w:asciiTheme="minorHAnsi" w:hAnsiTheme="minorHAnsi" w:cstheme="minorHAnsi"/>
          <w:color w:val="000000"/>
        </w:rPr>
        <w:t>g. 18.00 zakończenie konferencji</w:t>
      </w:r>
    </w:p>
    <w:p w:rsidR="002600CE" w:rsidRPr="00440C15" w:rsidRDefault="00440C15">
      <w:pPr>
        <w:rPr>
          <w:rFonts w:cstheme="minorHAnsi"/>
        </w:rPr>
      </w:pPr>
    </w:p>
    <w:sectPr w:rsidR="002600CE" w:rsidRPr="00440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15"/>
    <w:rsid w:val="00134690"/>
    <w:rsid w:val="00440C15"/>
    <w:rsid w:val="007C4D0A"/>
    <w:rsid w:val="0085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Ruminski</dc:creator>
  <cp:lastModifiedBy>Michał Ruminski</cp:lastModifiedBy>
  <cp:revision>1</cp:revision>
  <dcterms:created xsi:type="dcterms:W3CDTF">2017-02-06T09:56:00Z</dcterms:created>
  <dcterms:modified xsi:type="dcterms:W3CDTF">2017-02-06T10:02:00Z</dcterms:modified>
</cp:coreProperties>
</file>